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90B5" w14:textId="77777777" w:rsidR="000C2759" w:rsidRPr="00A40587" w:rsidRDefault="003C6A0E">
      <w:pPr>
        <w:pStyle w:val="a3"/>
        <w:spacing w:before="67"/>
        <w:ind w:left="1985" w:right="1987" w:firstLine="0"/>
        <w:jc w:val="center"/>
        <w:rPr>
          <w:lang w:val="en-US"/>
        </w:rPr>
      </w:pPr>
      <w:r w:rsidRPr="00A40587">
        <w:rPr>
          <w:lang w:val="en-US"/>
        </w:rPr>
        <w:t>NAO "Karaganda Medical University"</w:t>
      </w:r>
    </w:p>
    <w:p w14:paraId="46BC16B7" w14:textId="77777777" w:rsidR="000C2759" w:rsidRPr="00A40587" w:rsidRDefault="000C2759">
      <w:pPr>
        <w:pStyle w:val="a3"/>
        <w:ind w:left="0" w:firstLine="0"/>
        <w:jc w:val="left"/>
        <w:rPr>
          <w:lang w:val="en-US"/>
        </w:rPr>
      </w:pPr>
    </w:p>
    <w:p w14:paraId="38C055B4" w14:textId="77777777" w:rsidR="000C2759" w:rsidRPr="00A40587" w:rsidRDefault="000C2759">
      <w:pPr>
        <w:pStyle w:val="a3"/>
        <w:ind w:left="0" w:firstLine="0"/>
        <w:jc w:val="left"/>
        <w:rPr>
          <w:lang w:val="en-US"/>
        </w:rPr>
      </w:pPr>
    </w:p>
    <w:p w14:paraId="45A4B175" w14:textId="77777777" w:rsidR="000C2759" w:rsidRPr="00A40587" w:rsidRDefault="000C2759">
      <w:pPr>
        <w:pStyle w:val="a3"/>
        <w:spacing w:before="9"/>
        <w:ind w:left="0" w:firstLine="0"/>
        <w:jc w:val="left"/>
        <w:rPr>
          <w:lang w:val="en-US"/>
        </w:rPr>
      </w:pPr>
    </w:p>
    <w:p w14:paraId="5A38B1E4" w14:textId="730F317A" w:rsidR="000C2759" w:rsidRPr="00A40587" w:rsidRDefault="003C6A0E">
      <w:pPr>
        <w:pStyle w:val="1"/>
        <w:spacing w:line="240" w:lineRule="auto"/>
        <w:ind w:left="1985" w:right="1991"/>
        <w:jc w:val="center"/>
        <w:rPr>
          <w:lang w:val="en-US"/>
        </w:rPr>
      </w:pPr>
      <w:r w:rsidRPr="00A40587">
        <w:rPr>
          <w:spacing w:val="-2"/>
          <w:lang w:val="en-US"/>
        </w:rPr>
        <w:t xml:space="preserve">ABSTRACT  </w:t>
      </w:r>
    </w:p>
    <w:p w14:paraId="4C0D503E" w14:textId="1A00F5B9" w:rsidR="000C2759" w:rsidRPr="00A40587" w:rsidRDefault="004E7F28">
      <w:pPr>
        <w:pStyle w:val="a3"/>
        <w:spacing w:before="317"/>
        <w:ind w:left="1985" w:right="1980" w:firstLine="0"/>
        <w:jc w:val="center"/>
        <w:rPr>
          <w:lang w:val="en-US"/>
        </w:rPr>
      </w:pPr>
      <w:r>
        <w:rPr>
          <w:lang w:val="en-US"/>
        </w:rPr>
        <w:t xml:space="preserve">of the </w:t>
      </w:r>
      <w:r w:rsidR="003C6A0E" w:rsidRPr="00A40587">
        <w:rPr>
          <w:lang w:val="en-US"/>
        </w:rPr>
        <w:t>dissertation work for the degree of Doctor of Philosophy (PhD) on the topic:</w:t>
      </w:r>
    </w:p>
    <w:p w14:paraId="35CC4140" w14:textId="77777777" w:rsidR="000C2759" w:rsidRPr="00A40587" w:rsidRDefault="000C2759">
      <w:pPr>
        <w:pStyle w:val="a3"/>
        <w:ind w:left="0" w:firstLine="0"/>
        <w:jc w:val="left"/>
        <w:rPr>
          <w:lang w:val="en-US"/>
        </w:rPr>
      </w:pPr>
    </w:p>
    <w:p w14:paraId="77F00F36" w14:textId="77777777" w:rsidR="000C2759" w:rsidRPr="00A40587" w:rsidRDefault="000C2759">
      <w:pPr>
        <w:pStyle w:val="a3"/>
        <w:spacing w:before="3"/>
        <w:ind w:left="0" w:firstLine="0"/>
        <w:jc w:val="left"/>
        <w:rPr>
          <w:lang w:val="en-US"/>
        </w:rPr>
      </w:pPr>
    </w:p>
    <w:p w14:paraId="4F847816" w14:textId="77777777" w:rsidR="00ED249C" w:rsidRPr="00A40587" w:rsidRDefault="00ED249C" w:rsidP="00ED249C">
      <w:pPr>
        <w:jc w:val="center"/>
        <w:rPr>
          <w:b/>
          <w:color w:val="000000" w:themeColor="text1"/>
          <w:sz w:val="28"/>
          <w:szCs w:val="28"/>
          <w:lang w:val="en-US"/>
        </w:rPr>
      </w:pPr>
      <w:r w:rsidRPr="00A40587">
        <w:rPr>
          <w:b/>
          <w:color w:val="000000" w:themeColor="text1"/>
          <w:sz w:val="28"/>
          <w:szCs w:val="28"/>
          <w:lang w:val="en-US"/>
        </w:rPr>
        <w:t xml:space="preserve">Comparison of local antibiotic transport systems in the treatment of osteomyelitis in rabbits in </w:t>
      </w:r>
      <w:r w:rsidRPr="00A40587">
        <w:rPr>
          <w:b/>
          <w:i/>
          <w:color w:val="000000" w:themeColor="text1"/>
          <w:sz w:val="28"/>
          <w:szCs w:val="28"/>
          <w:lang w:val="en-US"/>
        </w:rPr>
        <w:t>in an in vivo experiment</w:t>
      </w:r>
    </w:p>
    <w:p w14:paraId="27FFCC5E" w14:textId="77777777" w:rsidR="000C2759" w:rsidRPr="00A40587" w:rsidRDefault="000C2759">
      <w:pPr>
        <w:pStyle w:val="a3"/>
        <w:ind w:left="0" w:firstLine="0"/>
        <w:jc w:val="left"/>
        <w:rPr>
          <w:b/>
          <w:lang w:val="en-US"/>
        </w:rPr>
      </w:pPr>
    </w:p>
    <w:p w14:paraId="1B500CF7" w14:textId="77777777" w:rsidR="000C2759" w:rsidRPr="00A40587" w:rsidRDefault="000C2759">
      <w:pPr>
        <w:pStyle w:val="a3"/>
        <w:spacing w:before="316"/>
        <w:ind w:left="0" w:firstLine="0"/>
        <w:jc w:val="left"/>
        <w:rPr>
          <w:b/>
          <w:lang w:val="en-US"/>
        </w:rPr>
      </w:pPr>
    </w:p>
    <w:p w14:paraId="690E18E6" w14:textId="77777777" w:rsidR="000C2759" w:rsidRPr="00A40587" w:rsidRDefault="003C6A0E">
      <w:pPr>
        <w:pStyle w:val="a3"/>
        <w:spacing w:line="322" w:lineRule="exact"/>
        <w:ind w:firstLine="0"/>
        <w:jc w:val="left"/>
        <w:rPr>
          <w:lang w:val="en-US"/>
        </w:rPr>
      </w:pPr>
      <w:r w:rsidRPr="00A40587">
        <w:rPr>
          <w:lang w:val="en-US"/>
        </w:rPr>
        <w:t>Specialty: 8D10100 "Medicine"</w:t>
      </w:r>
    </w:p>
    <w:p w14:paraId="5CDE2018" w14:textId="77777777" w:rsidR="000C2759" w:rsidRPr="00A40587" w:rsidRDefault="003C6A0E">
      <w:pPr>
        <w:pStyle w:val="a3"/>
        <w:ind w:firstLine="0"/>
        <w:jc w:val="left"/>
        <w:rPr>
          <w:lang w:val="en-US"/>
        </w:rPr>
      </w:pPr>
      <w:r w:rsidRPr="00A40587">
        <w:rPr>
          <w:lang w:val="en-US"/>
        </w:rPr>
        <w:t xml:space="preserve">Artist: Rudenko Alexander </w:t>
      </w:r>
      <w:proofErr w:type="spellStart"/>
      <w:r w:rsidRPr="00A40587">
        <w:rPr>
          <w:lang w:val="en-US"/>
        </w:rPr>
        <w:t>Petrovich</w:t>
      </w:r>
      <w:proofErr w:type="spellEnd"/>
    </w:p>
    <w:p w14:paraId="5082322D" w14:textId="77777777" w:rsidR="000C2759" w:rsidRPr="00A40587" w:rsidRDefault="000C2759">
      <w:pPr>
        <w:pStyle w:val="a3"/>
        <w:ind w:left="0" w:firstLine="0"/>
        <w:jc w:val="left"/>
        <w:rPr>
          <w:lang w:val="en-US"/>
        </w:rPr>
      </w:pPr>
    </w:p>
    <w:p w14:paraId="2DCBD30C" w14:textId="77777777" w:rsidR="000C2759" w:rsidRPr="00A40587" w:rsidRDefault="000C2759">
      <w:pPr>
        <w:pStyle w:val="a3"/>
        <w:ind w:left="0" w:firstLine="0"/>
        <w:jc w:val="left"/>
        <w:rPr>
          <w:lang w:val="en-US"/>
        </w:rPr>
      </w:pPr>
    </w:p>
    <w:p w14:paraId="7F6C4002" w14:textId="77777777" w:rsidR="000C2759" w:rsidRPr="00A40587" w:rsidRDefault="000C2759">
      <w:pPr>
        <w:pStyle w:val="a3"/>
        <w:ind w:left="0" w:firstLine="0"/>
        <w:jc w:val="left"/>
        <w:rPr>
          <w:lang w:val="en-US"/>
        </w:rPr>
      </w:pPr>
    </w:p>
    <w:p w14:paraId="76E085F5" w14:textId="77777777" w:rsidR="000C2759" w:rsidRPr="00A40587" w:rsidRDefault="000C2759">
      <w:pPr>
        <w:pStyle w:val="a3"/>
        <w:spacing w:before="3"/>
        <w:ind w:left="0" w:firstLine="0"/>
        <w:jc w:val="left"/>
        <w:rPr>
          <w:lang w:val="en-US"/>
        </w:rPr>
      </w:pPr>
    </w:p>
    <w:p w14:paraId="1E800450" w14:textId="417C0F3A" w:rsidR="00ED249C" w:rsidRPr="00A40587" w:rsidRDefault="00EF23B0" w:rsidP="00B26D9C">
      <w:pPr>
        <w:pStyle w:val="a3"/>
        <w:spacing w:line="322" w:lineRule="exact"/>
        <w:ind w:left="4536" w:firstLine="0"/>
        <w:jc w:val="left"/>
        <w:rPr>
          <w:spacing w:val="-2"/>
          <w:lang w:val="en-US"/>
        </w:rPr>
      </w:pPr>
      <w:r>
        <w:rPr>
          <w:lang w:val="en-US"/>
        </w:rPr>
        <w:t xml:space="preserve">Domestic </w:t>
      </w:r>
      <w:r w:rsidR="003C6A0E" w:rsidRPr="00A40587">
        <w:rPr>
          <w:lang w:val="en-US"/>
        </w:rPr>
        <w:t xml:space="preserve">scientific </w:t>
      </w:r>
      <w:r w:rsidR="00A40587">
        <w:rPr>
          <w:lang w:val="en-US"/>
        </w:rPr>
        <w:t xml:space="preserve">supervisor </w:t>
      </w:r>
    </w:p>
    <w:p w14:paraId="303231BA" w14:textId="77777777" w:rsidR="00ED249C" w:rsidRPr="00A40587" w:rsidRDefault="00ED249C" w:rsidP="00B26D9C">
      <w:pPr>
        <w:pStyle w:val="a3"/>
        <w:spacing w:line="322" w:lineRule="exact"/>
        <w:ind w:left="4536" w:firstLine="0"/>
        <w:jc w:val="left"/>
        <w:rPr>
          <w:spacing w:val="-2"/>
          <w:lang w:val="en-US"/>
        </w:rPr>
      </w:pPr>
      <w:proofErr w:type="spellStart"/>
      <w:r w:rsidRPr="00A40587">
        <w:rPr>
          <w:spacing w:val="-2"/>
          <w:lang w:val="en-US"/>
        </w:rPr>
        <w:t>Tuleubaev</w:t>
      </w:r>
      <w:proofErr w:type="spellEnd"/>
      <w:r w:rsidRPr="00A40587">
        <w:rPr>
          <w:spacing w:val="-2"/>
          <w:lang w:val="en-US"/>
        </w:rPr>
        <w:t xml:space="preserve"> </w:t>
      </w:r>
      <w:proofErr w:type="spellStart"/>
      <w:r w:rsidRPr="00A40587">
        <w:rPr>
          <w:spacing w:val="-2"/>
          <w:lang w:val="en-US"/>
        </w:rPr>
        <w:t>Berik</w:t>
      </w:r>
      <w:proofErr w:type="spellEnd"/>
      <w:r w:rsidRPr="00A40587">
        <w:rPr>
          <w:spacing w:val="-2"/>
          <w:lang w:val="en-US"/>
        </w:rPr>
        <w:t xml:space="preserve"> </w:t>
      </w:r>
      <w:proofErr w:type="spellStart"/>
      <w:r w:rsidRPr="00A40587">
        <w:rPr>
          <w:spacing w:val="-2"/>
          <w:lang w:val="en-US"/>
        </w:rPr>
        <w:t>Yerkebulanovich</w:t>
      </w:r>
      <w:proofErr w:type="spellEnd"/>
      <w:r w:rsidRPr="00A40587">
        <w:rPr>
          <w:spacing w:val="-2"/>
          <w:lang w:val="en-US"/>
        </w:rPr>
        <w:t xml:space="preserve"> </w:t>
      </w:r>
    </w:p>
    <w:p w14:paraId="778BEBFB" w14:textId="6DC78DFF" w:rsidR="00ED249C" w:rsidRPr="00A40587" w:rsidRDefault="00ED249C" w:rsidP="00A40587">
      <w:pPr>
        <w:pStyle w:val="a3"/>
        <w:spacing w:line="322" w:lineRule="exact"/>
        <w:ind w:left="4536" w:firstLine="0"/>
        <w:jc w:val="left"/>
        <w:rPr>
          <w:spacing w:val="-2"/>
          <w:lang w:val="en-US"/>
        </w:rPr>
      </w:pPr>
      <w:r w:rsidRPr="00A40587">
        <w:rPr>
          <w:spacing w:val="-2"/>
          <w:lang w:val="en-US"/>
        </w:rPr>
        <w:t>Doctor of Medical Sciences, Head of the Department</w:t>
      </w:r>
      <w:r w:rsidR="00A40587">
        <w:rPr>
          <w:spacing w:val="-2"/>
          <w:lang w:val="en-US"/>
        </w:rPr>
        <w:t xml:space="preserve"> of S</w:t>
      </w:r>
      <w:r w:rsidRPr="00A40587">
        <w:rPr>
          <w:spacing w:val="-2"/>
          <w:lang w:val="en-US"/>
        </w:rPr>
        <w:t xml:space="preserve">urgical </w:t>
      </w:r>
      <w:r w:rsidR="00A40587">
        <w:rPr>
          <w:spacing w:val="-2"/>
          <w:lang w:val="en-US"/>
        </w:rPr>
        <w:t>D</w:t>
      </w:r>
      <w:r w:rsidRPr="00A40587">
        <w:rPr>
          <w:spacing w:val="-2"/>
          <w:lang w:val="en-US"/>
        </w:rPr>
        <w:t>iseases</w:t>
      </w:r>
    </w:p>
    <w:p w14:paraId="4DE8E5FB" w14:textId="77777777" w:rsidR="00ED249C" w:rsidRPr="00A40587" w:rsidRDefault="00ED249C" w:rsidP="00ED249C">
      <w:pPr>
        <w:pStyle w:val="a3"/>
        <w:spacing w:line="322" w:lineRule="exact"/>
        <w:ind w:left="5670" w:firstLine="0"/>
        <w:jc w:val="left"/>
        <w:rPr>
          <w:lang w:val="en-US"/>
        </w:rPr>
      </w:pPr>
    </w:p>
    <w:p w14:paraId="7ACBBA4D" w14:textId="798FF92C" w:rsidR="00ED249C" w:rsidRPr="00ED065B" w:rsidRDefault="003C6A0E" w:rsidP="00B26D9C">
      <w:pPr>
        <w:tabs>
          <w:tab w:val="left" w:pos="4536"/>
        </w:tabs>
        <w:ind w:left="4536"/>
        <w:rPr>
          <w:sz w:val="28"/>
          <w:szCs w:val="28"/>
          <w:lang w:val="en-US"/>
        </w:rPr>
      </w:pPr>
      <w:r w:rsidRPr="00A40587">
        <w:rPr>
          <w:sz w:val="28"/>
          <w:szCs w:val="28"/>
          <w:lang w:val="en-US"/>
        </w:rPr>
        <w:t xml:space="preserve">Foreign scientific </w:t>
      </w:r>
      <w:r w:rsidR="00A40587">
        <w:rPr>
          <w:sz w:val="28"/>
          <w:szCs w:val="28"/>
          <w:lang w:val="en-US"/>
        </w:rPr>
        <w:t xml:space="preserve">supervisor </w:t>
      </w:r>
    </w:p>
    <w:p w14:paraId="74B7204B" w14:textId="4F60FCB6" w:rsidR="00ED249C" w:rsidRPr="00ED249C" w:rsidRDefault="00ED249C" w:rsidP="00B26D9C">
      <w:pPr>
        <w:tabs>
          <w:tab w:val="left" w:pos="4536"/>
        </w:tabs>
        <w:ind w:left="4536"/>
        <w:rPr>
          <w:color w:val="000000"/>
          <w:sz w:val="28"/>
          <w:szCs w:val="28"/>
          <w:lang w:val="en-US" w:eastAsia="ru-RU"/>
        </w:rPr>
      </w:pPr>
      <w:r w:rsidRPr="00ED249C">
        <w:rPr>
          <w:color w:val="000000"/>
          <w:sz w:val="28"/>
          <w:szCs w:val="28"/>
          <w:lang w:val="en-US" w:eastAsia="ru-RU"/>
        </w:rPr>
        <w:t>MD, MSc, Professor of</w:t>
      </w:r>
      <w:r w:rsidR="00EF23B0">
        <w:rPr>
          <w:color w:val="000000"/>
          <w:sz w:val="28"/>
          <w:szCs w:val="28"/>
          <w:lang w:val="en-US" w:eastAsia="ru-RU"/>
        </w:rPr>
        <w:t xml:space="preserve"> </w:t>
      </w:r>
      <w:proofErr w:type="spellStart"/>
      <w:r w:rsidRPr="00ED249C">
        <w:rPr>
          <w:color w:val="000000"/>
          <w:sz w:val="28"/>
          <w:szCs w:val="28"/>
          <w:lang w:val="en-US" w:eastAsia="ru-RU"/>
        </w:rPr>
        <w:t>Namik</w:t>
      </w:r>
      <w:proofErr w:type="spellEnd"/>
      <w:r w:rsidRPr="00ED249C">
        <w:rPr>
          <w:color w:val="000000"/>
          <w:sz w:val="28"/>
          <w:szCs w:val="28"/>
          <w:lang w:val="en-US" w:eastAsia="ru-RU"/>
        </w:rPr>
        <w:t xml:space="preserve"> Kemal </w:t>
      </w:r>
      <w:proofErr w:type="spellStart"/>
      <w:proofErr w:type="gramStart"/>
      <w:r w:rsidRPr="00ED249C">
        <w:rPr>
          <w:color w:val="000000"/>
          <w:sz w:val="28"/>
          <w:szCs w:val="28"/>
          <w:lang w:val="en-US" w:eastAsia="ru-RU"/>
        </w:rPr>
        <w:t>University,School</w:t>
      </w:r>
      <w:proofErr w:type="spellEnd"/>
      <w:proofErr w:type="gramEnd"/>
      <w:r w:rsidRPr="00ED249C">
        <w:rPr>
          <w:color w:val="000000"/>
          <w:sz w:val="28"/>
          <w:szCs w:val="28"/>
          <w:lang w:val="en-US" w:eastAsia="ru-RU"/>
        </w:rPr>
        <w:t xml:space="preserve"> of Medicine,</w:t>
      </w:r>
    </w:p>
    <w:p w14:paraId="305ED50F" w14:textId="5DE14F90" w:rsidR="000C2759" w:rsidRPr="006E13BD" w:rsidRDefault="00ED249C" w:rsidP="00B26D9C">
      <w:pPr>
        <w:widowControl/>
        <w:tabs>
          <w:tab w:val="left" w:pos="4536"/>
        </w:tabs>
        <w:autoSpaceDE/>
        <w:autoSpaceDN/>
        <w:ind w:left="4536"/>
        <w:rPr>
          <w:color w:val="000000"/>
          <w:sz w:val="28"/>
          <w:szCs w:val="28"/>
          <w:lang w:val="en-US" w:eastAsia="ru-RU"/>
        </w:rPr>
      </w:pPr>
      <w:proofErr w:type="spellStart"/>
      <w:r w:rsidRPr="00ED249C">
        <w:rPr>
          <w:color w:val="000000"/>
          <w:sz w:val="28"/>
          <w:szCs w:val="28"/>
          <w:lang w:val="en-US" w:eastAsia="ru-RU"/>
        </w:rPr>
        <w:t>Nurettin</w:t>
      </w:r>
      <w:proofErr w:type="spellEnd"/>
      <w:r w:rsidRPr="00ED249C">
        <w:rPr>
          <w:color w:val="000000"/>
          <w:sz w:val="28"/>
          <w:szCs w:val="28"/>
          <w:lang w:val="en-US" w:eastAsia="ru-RU"/>
        </w:rPr>
        <w:t xml:space="preserve"> </w:t>
      </w:r>
      <w:proofErr w:type="spellStart"/>
      <w:r w:rsidRPr="00ED249C">
        <w:rPr>
          <w:color w:val="000000"/>
          <w:sz w:val="28"/>
          <w:szCs w:val="28"/>
          <w:lang w:val="en-US" w:eastAsia="ru-RU"/>
        </w:rPr>
        <w:t>Heybeli</w:t>
      </w:r>
      <w:proofErr w:type="spellEnd"/>
      <w:r w:rsidRPr="00ED065B">
        <w:rPr>
          <w:color w:val="000000"/>
          <w:sz w:val="28"/>
          <w:szCs w:val="28"/>
          <w:lang w:val="en-US" w:eastAsia="ru-RU"/>
        </w:rPr>
        <w:t xml:space="preserve"> (</w:t>
      </w:r>
      <w:proofErr w:type="spellStart"/>
      <w:r w:rsidR="00B26D9C">
        <w:rPr>
          <w:color w:val="000000"/>
          <w:sz w:val="28"/>
          <w:szCs w:val="28"/>
          <w:lang w:val="en-US" w:eastAsia="ru-RU"/>
        </w:rPr>
        <w:t>Tekirdag</w:t>
      </w:r>
      <w:proofErr w:type="spellEnd"/>
      <w:r w:rsidR="00B26D9C">
        <w:rPr>
          <w:color w:val="000000"/>
          <w:sz w:val="28"/>
          <w:szCs w:val="28"/>
          <w:lang w:val="en-US" w:eastAsia="ru-RU"/>
        </w:rPr>
        <w:t xml:space="preserve">, </w:t>
      </w:r>
      <w:proofErr w:type="gramStart"/>
      <w:r w:rsidR="00B26D9C">
        <w:rPr>
          <w:color w:val="000000"/>
          <w:sz w:val="28"/>
          <w:szCs w:val="28"/>
          <w:lang w:val="en-US" w:eastAsia="ru-RU"/>
        </w:rPr>
        <w:t>Turkey</w:t>
      </w:r>
      <w:r w:rsidR="00EF23B0">
        <w:rPr>
          <w:color w:val="000000"/>
          <w:sz w:val="28"/>
          <w:szCs w:val="28"/>
          <w:lang w:val="en-US" w:eastAsia="ru-RU"/>
        </w:rPr>
        <w:t xml:space="preserve"> )</w:t>
      </w:r>
      <w:proofErr w:type="gramEnd"/>
    </w:p>
    <w:p w14:paraId="41206502" w14:textId="77777777" w:rsidR="000C2759" w:rsidRPr="00A40587" w:rsidRDefault="000C2759">
      <w:pPr>
        <w:pStyle w:val="a3"/>
        <w:ind w:left="0" w:firstLine="0"/>
        <w:jc w:val="left"/>
        <w:rPr>
          <w:lang w:val="en-US"/>
        </w:rPr>
      </w:pPr>
    </w:p>
    <w:p w14:paraId="12CFDF49" w14:textId="77777777" w:rsidR="000C2759" w:rsidRPr="00ED065B" w:rsidRDefault="000C2759">
      <w:pPr>
        <w:pStyle w:val="a3"/>
        <w:ind w:left="0" w:firstLine="0"/>
        <w:jc w:val="left"/>
        <w:rPr>
          <w:lang w:val="en-US"/>
        </w:rPr>
      </w:pPr>
    </w:p>
    <w:p w14:paraId="4BB5BA07" w14:textId="77777777" w:rsidR="000C2759" w:rsidRPr="006E13BD" w:rsidRDefault="000C2759">
      <w:pPr>
        <w:pStyle w:val="a3"/>
        <w:ind w:left="0" w:firstLine="0"/>
        <w:jc w:val="left"/>
        <w:rPr>
          <w:lang w:val="en-US"/>
        </w:rPr>
      </w:pPr>
    </w:p>
    <w:p w14:paraId="15AE7576" w14:textId="77777777" w:rsidR="00B26D9C" w:rsidRPr="006E13BD" w:rsidRDefault="00B26D9C">
      <w:pPr>
        <w:pStyle w:val="a3"/>
        <w:ind w:left="0" w:firstLine="0"/>
        <w:jc w:val="left"/>
        <w:rPr>
          <w:lang w:val="en-US"/>
        </w:rPr>
      </w:pPr>
    </w:p>
    <w:p w14:paraId="60DCFE51" w14:textId="77777777" w:rsidR="00B26D9C" w:rsidRPr="006E13BD" w:rsidRDefault="00B26D9C">
      <w:pPr>
        <w:pStyle w:val="a3"/>
        <w:ind w:left="0" w:firstLine="0"/>
        <w:jc w:val="left"/>
        <w:rPr>
          <w:lang w:val="en-US"/>
        </w:rPr>
      </w:pPr>
    </w:p>
    <w:p w14:paraId="19154A16" w14:textId="77777777" w:rsidR="00B26D9C" w:rsidRPr="006E13BD" w:rsidRDefault="00B26D9C">
      <w:pPr>
        <w:pStyle w:val="a3"/>
        <w:ind w:left="0" w:firstLine="0"/>
        <w:jc w:val="left"/>
        <w:rPr>
          <w:lang w:val="en-US"/>
        </w:rPr>
      </w:pPr>
    </w:p>
    <w:p w14:paraId="60C7ED9B" w14:textId="77777777" w:rsidR="00B26D9C" w:rsidRPr="006E13BD" w:rsidRDefault="00B26D9C">
      <w:pPr>
        <w:pStyle w:val="a3"/>
        <w:ind w:left="0" w:firstLine="0"/>
        <w:jc w:val="left"/>
        <w:rPr>
          <w:lang w:val="en-US"/>
        </w:rPr>
      </w:pPr>
    </w:p>
    <w:p w14:paraId="70F33550" w14:textId="77777777" w:rsidR="000C2759" w:rsidRPr="00ED065B" w:rsidRDefault="000C2759">
      <w:pPr>
        <w:pStyle w:val="a3"/>
        <w:ind w:left="0" w:firstLine="0"/>
        <w:jc w:val="left"/>
        <w:rPr>
          <w:lang w:val="en-US"/>
        </w:rPr>
      </w:pPr>
    </w:p>
    <w:p w14:paraId="3D512E61" w14:textId="77777777" w:rsidR="000C2759" w:rsidRPr="00ED065B" w:rsidRDefault="000C2759">
      <w:pPr>
        <w:pStyle w:val="a3"/>
        <w:ind w:left="0" w:firstLine="0"/>
        <w:jc w:val="left"/>
        <w:rPr>
          <w:lang w:val="en-US"/>
        </w:rPr>
      </w:pPr>
    </w:p>
    <w:p w14:paraId="6E6D23DD" w14:textId="77777777" w:rsidR="000C2759" w:rsidRPr="00ED065B" w:rsidRDefault="000C2759">
      <w:pPr>
        <w:pStyle w:val="a3"/>
        <w:spacing w:before="48"/>
        <w:ind w:left="0" w:firstLine="0"/>
        <w:jc w:val="left"/>
        <w:rPr>
          <w:lang w:val="en-US"/>
        </w:rPr>
      </w:pPr>
    </w:p>
    <w:p w14:paraId="6C05D350" w14:textId="77777777" w:rsidR="000C2759" w:rsidRPr="00ED065B" w:rsidRDefault="003C6A0E">
      <w:pPr>
        <w:pStyle w:val="a3"/>
        <w:ind w:left="3360" w:right="3295" w:firstLine="0"/>
        <w:jc w:val="center"/>
        <w:rPr>
          <w:lang w:val="en-US"/>
        </w:rPr>
      </w:pPr>
      <w:r w:rsidRPr="00A40587">
        <w:rPr>
          <w:lang w:val="en-US"/>
        </w:rPr>
        <w:t>Republic of Kazakhstan Karaganda 2026</w:t>
      </w:r>
    </w:p>
    <w:p w14:paraId="368891FC" w14:textId="77777777" w:rsidR="000C2759" w:rsidRPr="00ED065B" w:rsidRDefault="000C2759">
      <w:pPr>
        <w:pStyle w:val="a3"/>
        <w:jc w:val="center"/>
        <w:rPr>
          <w:lang w:val="en-US"/>
        </w:rPr>
        <w:sectPr w:rsidR="000C2759" w:rsidRPr="00ED065B" w:rsidSect="00B26D9C">
          <w:type w:val="continuous"/>
          <w:pgSz w:w="11910" w:h="16840"/>
          <w:pgMar w:top="1134" w:right="567" w:bottom="1134" w:left="1701" w:header="720" w:footer="720" w:gutter="0"/>
          <w:cols w:space="720"/>
        </w:sectPr>
      </w:pPr>
    </w:p>
    <w:p w14:paraId="30553602" w14:textId="77777777" w:rsidR="006E13BD" w:rsidRPr="00A54905" w:rsidRDefault="003C6A0E" w:rsidP="00A54905">
      <w:pPr>
        <w:ind w:firstLine="709"/>
        <w:jc w:val="both"/>
        <w:rPr>
          <w:sz w:val="28"/>
          <w:szCs w:val="28"/>
          <w:lang w:val="kk-KZ"/>
        </w:rPr>
      </w:pPr>
      <w:r w:rsidRPr="00A40587">
        <w:rPr>
          <w:b/>
          <w:sz w:val="28"/>
          <w:szCs w:val="28"/>
          <w:lang w:val="en-US"/>
        </w:rPr>
        <w:lastRenderedPageBreak/>
        <w:t>The relevance of research.</w:t>
      </w:r>
    </w:p>
    <w:p w14:paraId="04C38959" w14:textId="028ADA0E" w:rsidR="006E13BD" w:rsidRPr="00382839" w:rsidRDefault="009A7F81" w:rsidP="00EF23B0">
      <w:pPr>
        <w:pStyle w:val="TableParagraph"/>
        <w:rPr>
          <w:sz w:val="28"/>
          <w:szCs w:val="28"/>
          <w:lang w:val="en-US"/>
        </w:rPr>
      </w:pPr>
      <w:r>
        <w:rPr>
          <w:sz w:val="28"/>
          <w:szCs w:val="28"/>
          <w:lang w:val="en-US"/>
        </w:rPr>
        <w:t xml:space="preserve">  </w:t>
      </w:r>
      <w:r w:rsidR="00382839">
        <w:rPr>
          <w:sz w:val="28"/>
          <w:szCs w:val="28"/>
          <w:lang w:val="en-US"/>
        </w:rPr>
        <w:t xml:space="preserve">  </w:t>
      </w:r>
      <w:r w:rsidR="00A54905" w:rsidRPr="009A7F81">
        <w:rPr>
          <w:sz w:val="28"/>
          <w:szCs w:val="28"/>
          <w:lang w:val="en-US"/>
        </w:rPr>
        <w:t xml:space="preserve"> </w:t>
      </w:r>
      <w:r w:rsidR="00EF23B0" w:rsidRPr="009A7F81">
        <w:rPr>
          <w:rStyle w:val="ac"/>
          <w:b w:val="0"/>
          <w:bCs w:val="0"/>
          <w:sz w:val="28"/>
          <w:szCs w:val="28"/>
          <w:lang w:val="en-US"/>
        </w:rPr>
        <w:t>Relevance of the Study</w:t>
      </w:r>
      <w:r w:rsidR="00EF23B0" w:rsidRPr="009A7F81">
        <w:rPr>
          <w:sz w:val="28"/>
          <w:szCs w:val="28"/>
          <w:lang w:val="en-US"/>
        </w:rPr>
        <w:t xml:space="preserve"> Chronic osteomyelitis represents one of the most complex and pressing problems in modern traumatology and orthopedics. </w:t>
      </w:r>
      <w:r w:rsidR="00EF23B0" w:rsidRPr="00382839">
        <w:rPr>
          <w:sz w:val="28"/>
          <w:szCs w:val="28"/>
          <w:lang w:val="en-US"/>
        </w:rPr>
        <w:t>Osteomyelitis is an inflammatory-destructive disease of bone tissue, predominantly of infectious origin. The main causes of chronic osteomyelitis include secondary infection of the bone by various strains of microorganisms, as well as post-traumatic complications associated with bone grafting in the context of inadequate surgical treatment [1–5]. Despite the widespread use of systemic antibacterial therapy, traditional approaches to the treatment of osteomyelitis do not always achieve a stable clinical effect. The use of high doses of antibacterial agents is associated with a number of limitations and contraindications and does not ensure sufficient efficacy [6]. Significant factors complicating treatment include insufficient vascularization of tissues in the area of destruction, the formation of new foci of necrosis, and difficulties in ensuring adequate surgical access, which are accompanied by additional tissue trauma. Unstable and insufficient concentrations of antibiotics directly at the pathological site are one of the key reasons for unsatisfactory treatment outcomes [7].</w:t>
      </w:r>
    </w:p>
    <w:p w14:paraId="21DF0A28" w14:textId="46AB3FA8" w:rsidR="006E13BD" w:rsidRPr="00382839" w:rsidRDefault="009A7F81" w:rsidP="00EF23B0">
      <w:pPr>
        <w:pStyle w:val="TableParagraph"/>
        <w:rPr>
          <w:sz w:val="28"/>
          <w:szCs w:val="28"/>
          <w:lang w:val="en-US"/>
        </w:rPr>
      </w:pPr>
      <w:r>
        <w:rPr>
          <w:lang w:val="en-US"/>
        </w:rPr>
        <w:t xml:space="preserve">  </w:t>
      </w:r>
      <w:r w:rsidR="003E1E4E" w:rsidRPr="009A7F81">
        <w:rPr>
          <w:lang w:val="en-US"/>
        </w:rPr>
        <w:t xml:space="preserve"> </w:t>
      </w:r>
      <w:r w:rsidR="00EF23B0" w:rsidRPr="009A7F81">
        <w:rPr>
          <w:lang w:val="en-US"/>
        </w:rPr>
        <w:t xml:space="preserve"> </w:t>
      </w:r>
      <w:r w:rsidR="00382839">
        <w:rPr>
          <w:lang w:val="en-US"/>
        </w:rPr>
        <w:t xml:space="preserve">   </w:t>
      </w:r>
      <w:r w:rsidR="00EF23B0" w:rsidRPr="009A7F81">
        <w:rPr>
          <w:sz w:val="28"/>
          <w:szCs w:val="28"/>
          <w:lang w:val="en-US"/>
        </w:rPr>
        <w:t xml:space="preserve">Treatment of chronic osteomyelitis requires a comprehensive approach that includes combating pathogenic microflora, controlling the inflammatory process, reconstructing bone tissue, performing repeated surgical interventions, removing implant components, and eliminating bone defects [8, 9]. </w:t>
      </w:r>
      <w:r w:rsidR="00EF23B0" w:rsidRPr="00382839">
        <w:rPr>
          <w:sz w:val="28"/>
          <w:szCs w:val="28"/>
          <w:lang w:val="en-US"/>
        </w:rPr>
        <w:t xml:space="preserve">To achieve an effective outcome, it is necessary to ensure proper wound debridement, create a high local concentration of the antibiotic, fill the bone defect, and enhance the overall resistance of the </w:t>
      </w:r>
      <w:proofErr w:type="spellStart"/>
      <w:r w:rsidR="00EF23B0" w:rsidRPr="00382839">
        <w:rPr>
          <w:sz w:val="28"/>
          <w:szCs w:val="28"/>
          <w:lang w:val="en-US"/>
        </w:rPr>
        <w:t>macroorganism</w:t>
      </w:r>
      <w:proofErr w:type="spellEnd"/>
      <w:r w:rsidR="00EF23B0" w:rsidRPr="00382839">
        <w:rPr>
          <w:sz w:val="28"/>
          <w:szCs w:val="28"/>
          <w:lang w:val="en-US"/>
        </w:rPr>
        <w:t xml:space="preserve"> [10]. In this regard, increasing attention in recent years has been paid to methods of local antibiotic delivery. Carriers impregnated with antibacterial agents function as local drug delivery systems. They not only fill the cavities formed after surgical debridement but also help maintain a high concentration of the antibiotic directly at the site of infection, minimizing its systemic increase in blood serum [11]. At the same time, a significant drawback of such methods remains the rapid decrease in antibiotic concentration in the area of inflammation [12, 13].</w:t>
      </w:r>
    </w:p>
    <w:p w14:paraId="73FA91E6" w14:textId="644BC58D" w:rsidR="006E13BD" w:rsidRPr="00382839" w:rsidRDefault="00EF23B0" w:rsidP="00EF23B0">
      <w:pPr>
        <w:pStyle w:val="TableParagraph"/>
        <w:rPr>
          <w:sz w:val="28"/>
          <w:szCs w:val="28"/>
          <w:lang w:val="en-US"/>
        </w:rPr>
      </w:pPr>
      <w:r>
        <w:rPr>
          <w:sz w:val="28"/>
          <w:szCs w:val="28"/>
          <w:lang w:val="en-US"/>
        </w:rPr>
        <w:t xml:space="preserve">    </w:t>
      </w:r>
      <w:r w:rsidR="009A7F81">
        <w:rPr>
          <w:sz w:val="28"/>
          <w:szCs w:val="28"/>
          <w:lang w:val="en-US"/>
        </w:rPr>
        <w:t xml:space="preserve"> </w:t>
      </w:r>
      <w:r>
        <w:rPr>
          <w:sz w:val="28"/>
          <w:szCs w:val="28"/>
          <w:lang w:val="en-US"/>
        </w:rPr>
        <w:t xml:space="preserve"> </w:t>
      </w:r>
      <w:r w:rsidRPr="009A7F81">
        <w:rPr>
          <w:sz w:val="28"/>
          <w:szCs w:val="28"/>
          <w:lang w:val="en-US"/>
        </w:rPr>
        <w:t xml:space="preserve">It should be noted that the local use of antibiotics has not yet become a universally accepted method of treatment and is often associated with an insufficient evidence base regarding its effectiveness. </w:t>
      </w:r>
      <w:r w:rsidRPr="00382839">
        <w:rPr>
          <w:sz w:val="28"/>
          <w:szCs w:val="28"/>
          <w:lang w:val="en-US"/>
        </w:rPr>
        <w:t>Despite the development of a wide range of antibiotic carriers [14–16], the problem of creating a material that would simultaneously ensure the replacement of bone defects, effective binding of the antibacterial agent, and its controlled sustained release in the affected area remains unresolved. Studies investigating the use of bone grafts impregnated with antibiotics are of particular scientific and practical interest [17, 18]. In such works, frozen or lyophilized bone fragments are typically used as carriers. However, there is a lack of data in the available literature regarding the impregnation of a whole bone graft prepared according to the Marburg Bone Bank system, particularly the femoral head, with antibiotics. Data on antibiotic concentrations in the bloodstream and in tissues surrounding the wound when using bone grafts prepared by this system also remain extremely limited.</w:t>
      </w:r>
    </w:p>
    <w:p w14:paraId="3817884E" w14:textId="77777777" w:rsidR="00EF23B0" w:rsidRPr="00382839" w:rsidRDefault="00EF23B0" w:rsidP="00EF23B0">
      <w:pPr>
        <w:pStyle w:val="TableParagraph"/>
        <w:rPr>
          <w:sz w:val="28"/>
          <w:szCs w:val="28"/>
          <w:lang w:val="en-US"/>
        </w:rPr>
      </w:pPr>
    </w:p>
    <w:p w14:paraId="48C61E21" w14:textId="74FA44EA" w:rsidR="00EF23B0" w:rsidRPr="00382839" w:rsidRDefault="00EF23B0" w:rsidP="00EF23B0">
      <w:pPr>
        <w:pStyle w:val="TableParagraph"/>
        <w:rPr>
          <w:sz w:val="28"/>
          <w:szCs w:val="28"/>
          <w:lang w:val="en-US"/>
        </w:rPr>
      </w:pPr>
      <w:r>
        <w:rPr>
          <w:sz w:val="28"/>
          <w:szCs w:val="28"/>
          <w:lang w:val="en-US"/>
        </w:rPr>
        <w:lastRenderedPageBreak/>
        <w:t xml:space="preserve">       </w:t>
      </w:r>
      <w:r w:rsidRPr="00EF23B0">
        <w:rPr>
          <w:sz w:val="28"/>
          <w:szCs w:val="28"/>
          <w:lang w:val="en-US"/>
        </w:rPr>
        <w:t xml:space="preserve">In global clinical practice, various types of bone allografts are used, including fresh, fresh-frozen, lyophilized, demineralized, and deproteinized bone fragments. </w:t>
      </w:r>
      <w:r w:rsidRPr="00382839">
        <w:rPr>
          <w:sz w:val="28"/>
          <w:szCs w:val="28"/>
          <w:lang w:val="en-US"/>
        </w:rPr>
        <w:t xml:space="preserve">It has been shown that implantation of cancellous bone grafts loaded with vancomycin can be effective in the treatment of infection, providing a high rate of pathogen eradication without the risk of systemic toxicity. Under experimental conditions, the release of gentamicin after implantation may be maintained at therapeutic concentrations for a certain period of time [19]. At the same time, the rate of gentamicin release from lyophilized bone is comparable to its release from fresh-frozen bone due to similarities in the porosity and microstructure of bone grafts: a high concentration of the drug is observed during the first two days, followed by a sharp decrease by the end of the second week. In addition, the osteoconductive and </w:t>
      </w:r>
      <w:proofErr w:type="spellStart"/>
      <w:r w:rsidRPr="00382839">
        <w:rPr>
          <w:sz w:val="28"/>
          <w:szCs w:val="28"/>
          <w:lang w:val="en-US"/>
        </w:rPr>
        <w:t>osteoinductive</w:t>
      </w:r>
      <w:proofErr w:type="spellEnd"/>
      <w:r w:rsidRPr="00382839">
        <w:rPr>
          <w:sz w:val="28"/>
          <w:szCs w:val="28"/>
          <w:lang w:val="en-US"/>
        </w:rPr>
        <w:t xml:space="preserve"> properties of such biomaterials used as defect fillers may be significantly reduced due to the presence of a considerable </w:t>
      </w:r>
      <w:proofErr w:type="gramStart"/>
      <w:r w:rsidRPr="00382839">
        <w:rPr>
          <w:sz w:val="28"/>
          <w:szCs w:val="28"/>
          <w:lang w:val="en-US"/>
        </w:rPr>
        <w:t>amount</w:t>
      </w:r>
      <w:proofErr w:type="gramEnd"/>
      <w:r w:rsidRPr="00382839">
        <w:rPr>
          <w:sz w:val="28"/>
          <w:szCs w:val="28"/>
          <w:lang w:val="en-US"/>
        </w:rPr>
        <w:t xml:space="preserve"> of chemical residues introduced during processing [20].</w:t>
      </w:r>
    </w:p>
    <w:p w14:paraId="5DC98B93" w14:textId="4032C848" w:rsidR="00EF23B0" w:rsidRPr="00382839" w:rsidRDefault="00EF23B0" w:rsidP="00EF23B0">
      <w:pPr>
        <w:pStyle w:val="TableParagraph"/>
        <w:rPr>
          <w:sz w:val="28"/>
          <w:szCs w:val="28"/>
          <w:lang w:val="en-US"/>
        </w:rPr>
      </w:pPr>
      <w:r>
        <w:rPr>
          <w:sz w:val="28"/>
          <w:szCs w:val="28"/>
          <w:lang w:val="en-US"/>
        </w:rPr>
        <w:t xml:space="preserve">      </w:t>
      </w:r>
      <w:r w:rsidRPr="00EF23B0">
        <w:rPr>
          <w:sz w:val="28"/>
          <w:szCs w:val="28"/>
          <w:lang w:val="en-US"/>
        </w:rPr>
        <w:t xml:space="preserve">It has been established that demineralized bone matrix, as an antibiotic carrier, can be used to maintain the minimum inhibitory concentration against microbial growth, thereby promoting defect healing and reducing the need for repeated surgical interventions [21]. </w:t>
      </w:r>
      <w:r w:rsidRPr="00382839">
        <w:rPr>
          <w:sz w:val="28"/>
          <w:szCs w:val="28"/>
          <w:lang w:val="en-US"/>
        </w:rPr>
        <w:t>However, the instability of antibacterial drug concentrations and unsatisfactory outcomes of bone tissue remodeling do not allow existing approaches to be considered fully adequate.</w:t>
      </w:r>
    </w:p>
    <w:p w14:paraId="5F0DEFC7" w14:textId="2E1F01E6" w:rsidR="00520A48" w:rsidRPr="00382839" w:rsidRDefault="00EF23B0" w:rsidP="00EF23B0">
      <w:pPr>
        <w:pStyle w:val="TableParagraph"/>
        <w:rPr>
          <w:sz w:val="28"/>
          <w:szCs w:val="28"/>
          <w:lang w:val="en-US"/>
        </w:rPr>
      </w:pPr>
      <w:r>
        <w:rPr>
          <w:sz w:val="28"/>
          <w:szCs w:val="28"/>
          <w:lang w:val="en-US"/>
        </w:rPr>
        <w:t xml:space="preserve">      </w:t>
      </w:r>
      <w:r w:rsidRPr="00EF23B0">
        <w:rPr>
          <w:sz w:val="28"/>
          <w:szCs w:val="28"/>
          <w:lang w:val="en-US"/>
        </w:rPr>
        <w:t xml:space="preserve">Currently, polymethyl methacrylate (PMMA) granules and fragments of allogeneic bone materials are used as the standard treatment for chronic osteomyelitis when filling defects formed as a result of infectious and inflammatory processes [22]. </w:t>
      </w:r>
      <w:r w:rsidRPr="00382839">
        <w:rPr>
          <w:sz w:val="28"/>
          <w:szCs w:val="28"/>
          <w:lang w:val="en-US"/>
        </w:rPr>
        <w:t xml:space="preserve">However, each of these materials has certain disadvantages and does not meet the requirements for an ideal bone substitute. Such a material should be characterized by biocompatibility, </w:t>
      </w:r>
      <w:proofErr w:type="spellStart"/>
      <w:r w:rsidRPr="00382839">
        <w:rPr>
          <w:sz w:val="28"/>
          <w:szCs w:val="28"/>
          <w:lang w:val="en-US"/>
        </w:rPr>
        <w:t>bioresorbability</w:t>
      </w:r>
      <w:proofErr w:type="spellEnd"/>
      <w:r w:rsidRPr="00382839">
        <w:rPr>
          <w:sz w:val="28"/>
          <w:szCs w:val="28"/>
          <w:lang w:val="en-US"/>
        </w:rPr>
        <w:t xml:space="preserve">, structural similarity to native bone tissue, ease of clinical use, cost-effectiveness, </w:t>
      </w:r>
      <w:proofErr w:type="spellStart"/>
      <w:r w:rsidRPr="00382839">
        <w:rPr>
          <w:sz w:val="28"/>
          <w:szCs w:val="28"/>
          <w:lang w:val="en-US"/>
        </w:rPr>
        <w:t>osteoinductive</w:t>
      </w:r>
      <w:proofErr w:type="spellEnd"/>
      <w:r w:rsidRPr="00382839">
        <w:rPr>
          <w:sz w:val="28"/>
          <w:szCs w:val="28"/>
          <w:lang w:val="en-US"/>
        </w:rPr>
        <w:t xml:space="preserve"> properties, the ability for complete remodeling within the recipient’s bone tissue, and stability during storage. An analysis of the literature over the past 20 years, as presented in leading scientific databases, indicates the absence of an optimal graft that would be effective in the treatment of chronic osteomyelitis by combining the properties of a local antibiotic delivery system with </w:t>
      </w:r>
      <w:r w:rsidRPr="00EF23B0">
        <w:rPr>
          <w:sz w:val="28"/>
          <w:szCs w:val="28"/>
        </w:rPr>
        <w:t>полноценной</w:t>
      </w:r>
      <w:r w:rsidRPr="00382839">
        <w:rPr>
          <w:sz w:val="28"/>
          <w:szCs w:val="28"/>
          <w:lang w:val="en-US"/>
        </w:rPr>
        <w:t xml:space="preserve"> osteointegration. In this regard, the search for and development of effective systems for the local delivery of antimicrobial agents in the treatment of chronic osteomyelitis represent an important scientific and practical task in modern traumatology and orthopedics.</w:t>
      </w:r>
    </w:p>
    <w:p w14:paraId="2F752946" w14:textId="6A4F40BF" w:rsidR="00520A48" w:rsidRPr="00382839" w:rsidRDefault="00520A48" w:rsidP="00520A48">
      <w:pPr>
        <w:pStyle w:val="TableParagraph"/>
        <w:rPr>
          <w:b/>
          <w:bCs/>
          <w:sz w:val="28"/>
          <w:szCs w:val="28"/>
          <w:lang w:val="en-US"/>
        </w:rPr>
      </w:pPr>
      <w:r w:rsidRPr="00382839">
        <w:rPr>
          <w:b/>
          <w:bCs/>
          <w:sz w:val="28"/>
          <w:szCs w:val="28"/>
          <w:lang w:val="en-US"/>
        </w:rPr>
        <w:t xml:space="preserve">          Objective of the Study</w:t>
      </w:r>
    </w:p>
    <w:p w14:paraId="428D16F0" w14:textId="49E69640" w:rsidR="00520A48" w:rsidRPr="00520A48" w:rsidRDefault="00520A48" w:rsidP="00520A48">
      <w:pPr>
        <w:pStyle w:val="TableParagraph"/>
        <w:rPr>
          <w:sz w:val="28"/>
          <w:szCs w:val="28"/>
          <w:lang w:val="en-US"/>
        </w:rPr>
      </w:pPr>
      <w:r w:rsidRPr="00520A48">
        <w:rPr>
          <w:sz w:val="28"/>
          <w:szCs w:val="28"/>
          <w:lang w:val="en-US"/>
        </w:rPr>
        <w:t>To investigate the potential use of a bone allograft prepared according to the Marburg Bone Bank system as a biocarrier for antibiotics in the treatment of osteomyelitis, with subsequent replacement of damaged bone tissue in an experimental model using laboratory animals.</w:t>
      </w:r>
    </w:p>
    <w:p w14:paraId="39B5C7E9" w14:textId="77777777" w:rsidR="00520A48" w:rsidRPr="00520A48" w:rsidRDefault="00520A48" w:rsidP="00520A48">
      <w:pPr>
        <w:pStyle w:val="TableParagraph"/>
        <w:rPr>
          <w:sz w:val="28"/>
          <w:szCs w:val="28"/>
          <w:lang w:val="en-US"/>
        </w:rPr>
      </w:pPr>
      <w:r w:rsidRPr="00520A48">
        <w:rPr>
          <w:sz w:val="28"/>
          <w:szCs w:val="28"/>
          <w:lang w:val="en-US"/>
        </w:rPr>
        <w:t>Research Objectives:</w:t>
      </w:r>
    </w:p>
    <w:p w14:paraId="0DC2FD81" w14:textId="77777777" w:rsidR="00520A48" w:rsidRPr="00520A48" w:rsidRDefault="00520A48" w:rsidP="00520A48">
      <w:pPr>
        <w:pStyle w:val="TableParagraph"/>
        <w:rPr>
          <w:sz w:val="28"/>
          <w:szCs w:val="28"/>
          <w:lang w:val="en-US"/>
        </w:rPr>
      </w:pPr>
      <w:r w:rsidRPr="00520A48">
        <w:rPr>
          <w:sz w:val="28"/>
          <w:szCs w:val="28"/>
          <w:lang w:val="en-US"/>
        </w:rPr>
        <w:t xml:space="preserve"> 1. To compare the diffusion of an antibiotic from an antibiotic-impregnated bone allograft into the systemic circulation with that from a biodegradable material based on nanocrystalline hydroxyapatite in a rabbit model of osteomyelitis.</w:t>
      </w:r>
    </w:p>
    <w:p w14:paraId="0C83F8C3" w14:textId="77777777" w:rsidR="00520A48" w:rsidRPr="00520A48" w:rsidRDefault="00520A48" w:rsidP="00520A48">
      <w:pPr>
        <w:pStyle w:val="TableParagraph"/>
        <w:rPr>
          <w:sz w:val="28"/>
          <w:szCs w:val="28"/>
          <w:lang w:val="en-US"/>
        </w:rPr>
      </w:pPr>
      <w:r w:rsidRPr="00520A48">
        <w:rPr>
          <w:sz w:val="28"/>
          <w:szCs w:val="28"/>
          <w:lang w:val="en-US"/>
        </w:rPr>
        <w:t xml:space="preserve"> 2. To compare the diffusion of an antibiotic from an antibiotic-impregnated bone </w:t>
      </w:r>
      <w:r w:rsidRPr="00520A48">
        <w:rPr>
          <w:sz w:val="28"/>
          <w:szCs w:val="28"/>
          <w:lang w:val="en-US"/>
        </w:rPr>
        <w:lastRenderedPageBreak/>
        <w:t>allograft into the surrounding soft tissues with that from a biodegradable material based on nanocrystalline hydroxyapatite in a rabbit model of osteomyelitis.</w:t>
      </w:r>
    </w:p>
    <w:p w14:paraId="3DEAFB79" w14:textId="77777777" w:rsidR="00520A48" w:rsidRPr="00520A48" w:rsidRDefault="00520A48" w:rsidP="00520A48">
      <w:pPr>
        <w:pStyle w:val="TableParagraph"/>
        <w:rPr>
          <w:sz w:val="28"/>
          <w:szCs w:val="28"/>
          <w:lang w:val="en-US"/>
        </w:rPr>
      </w:pPr>
      <w:r w:rsidRPr="00520A48">
        <w:rPr>
          <w:sz w:val="28"/>
          <w:szCs w:val="28"/>
          <w:lang w:val="en-US"/>
        </w:rPr>
        <w:t xml:space="preserve"> 3. To evaluate the radiological effectiveness of an antibiotic-impregnated bone allograft in comparison with a biodegradable material based on nanocrystalline hydroxyapatite in a rabbit model of osteomyelitis.</w:t>
      </w:r>
    </w:p>
    <w:p w14:paraId="6E84EE5F" w14:textId="77777777" w:rsidR="00520A48" w:rsidRPr="00520A48" w:rsidRDefault="00520A48" w:rsidP="00520A48">
      <w:pPr>
        <w:pStyle w:val="TableParagraph"/>
        <w:rPr>
          <w:sz w:val="28"/>
          <w:szCs w:val="28"/>
          <w:lang w:val="en-US"/>
        </w:rPr>
      </w:pPr>
      <w:r w:rsidRPr="00520A48">
        <w:rPr>
          <w:sz w:val="28"/>
          <w:szCs w:val="28"/>
          <w:lang w:val="en-US"/>
        </w:rPr>
        <w:t>Scientific Novelty</w:t>
      </w:r>
    </w:p>
    <w:p w14:paraId="18746A4B" w14:textId="34B49DB4" w:rsidR="00520A48" w:rsidRDefault="00520A48" w:rsidP="00520A48">
      <w:pPr>
        <w:pStyle w:val="TableParagraph"/>
        <w:rPr>
          <w:sz w:val="28"/>
          <w:szCs w:val="28"/>
          <w:lang w:val="en-US"/>
        </w:rPr>
      </w:pPr>
      <w:r w:rsidRPr="00520A48">
        <w:rPr>
          <w:sz w:val="28"/>
          <w:szCs w:val="28"/>
          <w:lang w:val="en-US"/>
        </w:rPr>
        <w:t xml:space="preserve"> 1. For the first time, in a rabbit model of osteomyelitis, it has been established that the concentration of the antibiotic in blood plasma following local delivery from an antibiotic-impregnated bone allograft is 3.4 times higher than that achieved using a biodegradable material based on nanocrystalline hydroxyapatite.</w:t>
      </w:r>
    </w:p>
    <w:p w14:paraId="31128034" w14:textId="77777777" w:rsidR="00520A48" w:rsidRPr="00520A48" w:rsidRDefault="00520A48" w:rsidP="00520A48">
      <w:pPr>
        <w:pStyle w:val="TableParagraph"/>
        <w:rPr>
          <w:sz w:val="28"/>
          <w:szCs w:val="28"/>
          <w:lang w:val="en-US"/>
        </w:rPr>
      </w:pPr>
      <w:r w:rsidRPr="00520A48">
        <w:rPr>
          <w:sz w:val="28"/>
          <w:szCs w:val="28"/>
          <w:lang w:val="en-US"/>
        </w:rPr>
        <w:t>2. For the first time, in a rabbit model of osteomyelitis, it has been established that the mean antibiotic concentration in soft tissues following its local delivery from an antibiotic-impregnated bone allograft is 2.2 times higher than the mean concentration achieved using a biodegradable material based on nanocrystalline hydroxyapatite.</w:t>
      </w:r>
    </w:p>
    <w:p w14:paraId="2DCD1D3D" w14:textId="77777777" w:rsidR="00520A48" w:rsidRPr="00520A48" w:rsidRDefault="00520A48" w:rsidP="00520A48">
      <w:pPr>
        <w:pStyle w:val="TableParagraph"/>
        <w:rPr>
          <w:sz w:val="28"/>
          <w:szCs w:val="28"/>
          <w:lang w:val="en-US"/>
        </w:rPr>
      </w:pPr>
      <w:r w:rsidRPr="00520A48">
        <w:rPr>
          <w:sz w:val="28"/>
          <w:szCs w:val="28"/>
          <w:lang w:val="en-US"/>
        </w:rPr>
        <w:t xml:space="preserve"> 3. For the first time, in a rabbit model of osteomyelitis, it has been established that an antibiotic-impregnated bone allograft prepared using the original method, according to radiological assessment, reduces the severity of osteomyelitis signs on a binary scale by 39% compared with a biodegradable material based on nanocrystalline hydroxyapatite.</w:t>
      </w:r>
    </w:p>
    <w:p w14:paraId="30E7788A" w14:textId="77777777" w:rsidR="00520A48" w:rsidRPr="00520A48" w:rsidRDefault="00520A48" w:rsidP="00520A48">
      <w:pPr>
        <w:pStyle w:val="TableParagraph"/>
        <w:rPr>
          <w:sz w:val="28"/>
          <w:szCs w:val="28"/>
          <w:lang w:val="en-US"/>
        </w:rPr>
      </w:pPr>
      <w:r w:rsidRPr="00520A48">
        <w:rPr>
          <w:sz w:val="28"/>
          <w:szCs w:val="28"/>
          <w:lang w:val="en-US"/>
        </w:rPr>
        <w:t xml:space="preserve"> 4. The following developments have been created:</w:t>
      </w:r>
    </w:p>
    <w:p w14:paraId="3B0815A2" w14:textId="77777777" w:rsidR="00520A48" w:rsidRPr="00520A48" w:rsidRDefault="00520A48" w:rsidP="00520A48">
      <w:pPr>
        <w:pStyle w:val="TableParagraph"/>
        <w:rPr>
          <w:sz w:val="28"/>
          <w:szCs w:val="28"/>
          <w:lang w:val="en-US"/>
        </w:rPr>
      </w:pPr>
      <w:r w:rsidRPr="00520A48">
        <w:rPr>
          <w:sz w:val="28"/>
          <w:szCs w:val="28"/>
          <w:lang w:val="en-US"/>
        </w:rPr>
        <w:t>– “A device for fixation of laboratory animals for radiological examination,” certificate No. 15561 dated March 1, 2021;</w:t>
      </w:r>
    </w:p>
    <w:p w14:paraId="4032B6FA" w14:textId="77777777" w:rsidR="00520A48" w:rsidRPr="00520A48" w:rsidRDefault="00520A48" w:rsidP="00520A48">
      <w:pPr>
        <w:pStyle w:val="TableParagraph"/>
        <w:rPr>
          <w:sz w:val="28"/>
          <w:szCs w:val="28"/>
          <w:lang w:val="en-US"/>
        </w:rPr>
      </w:pPr>
      <w:r w:rsidRPr="00520A48">
        <w:rPr>
          <w:sz w:val="28"/>
          <w:szCs w:val="28"/>
          <w:lang w:val="en-US"/>
        </w:rPr>
        <w:t>– “A device for perforation of a bone allograft,” patent No. 3980 dated December 4, 2018;</w:t>
      </w:r>
    </w:p>
    <w:p w14:paraId="1012D843" w14:textId="1568277C" w:rsidR="00520A48" w:rsidRDefault="00520A48" w:rsidP="00520A48">
      <w:pPr>
        <w:pStyle w:val="TableParagraph"/>
        <w:rPr>
          <w:sz w:val="28"/>
          <w:szCs w:val="28"/>
          <w:lang w:val="en-US"/>
        </w:rPr>
      </w:pPr>
      <w:r w:rsidRPr="00520A48">
        <w:rPr>
          <w:sz w:val="28"/>
          <w:szCs w:val="28"/>
          <w:lang w:val="en-US"/>
        </w:rPr>
        <w:t>– Computer program “</w:t>
      </w:r>
      <w:proofErr w:type="spellStart"/>
      <w:r w:rsidRPr="00520A48">
        <w:rPr>
          <w:sz w:val="28"/>
          <w:szCs w:val="28"/>
          <w:lang w:val="en-US"/>
        </w:rPr>
        <w:t>AllograftKuat</w:t>
      </w:r>
      <w:proofErr w:type="spellEnd"/>
      <w:r w:rsidRPr="00520A48">
        <w:rPr>
          <w:sz w:val="28"/>
          <w:szCs w:val="28"/>
          <w:lang w:val="en-US"/>
        </w:rPr>
        <w:t>,” certificate No. 27000 dated June 8, 2022.</w:t>
      </w:r>
    </w:p>
    <w:p w14:paraId="138B3B62" w14:textId="77A02937" w:rsidR="009A7F81" w:rsidRPr="00382839" w:rsidRDefault="00382839" w:rsidP="009A7F81">
      <w:pPr>
        <w:pStyle w:val="TableParagraph"/>
        <w:rPr>
          <w:b/>
          <w:bCs/>
          <w:sz w:val="28"/>
          <w:szCs w:val="28"/>
          <w:lang w:val="en-US"/>
        </w:rPr>
      </w:pPr>
      <w:r w:rsidRPr="00382839">
        <w:rPr>
          <w:b/>
          <w:bCs/>
          <w:sz w:val="28"/>
          <w:szCs w:val="28"/>
          <w:lang w:val="en-US"/>
        </w:rPr>
        <w:t xml:space="preserve">    </w:t>
      </w:r>
      <w:r w:rsidR="009A7F81" w:rsidRPr="00382839">
        <w:rPr>
          <w:b/>
          <w:bCs/>
          <w:sz w:val="28"/>
          <w:szCs w:val="28"/>
          <w:lang w:val="en-US"/>
        </w:rPr>
        <w:t>Provisions Submitted for Defense</w:t>
      </w:r>
      <w:r>
        <w:rPr>
          <w:b/>
          <w:bCs/>
          <w:sz w:val="28"/>
          <w:szCs w:val="28"/>
          <w:lang w:val="en-US"/>
        </w:rPr>
        <w:t xml:space="preserve">: </w:t>
      </w:r>
    </w:p>
    <w:p w14:paraId="5F71E868" w14:textId="77777777" w:rsidR="009A7F81" w:rsidRPr="009A7F81" w:rsidRDefault="009A7F81" w:rsidP="009A7F81">
      <w:pPr>
        <w:pStyle w:val="TableParagraph"/>
        <w:rPr>
          <w:sz w:val="28"/>
          <w:szCs w:val="28"/>
          <w:lang w:val="en-US"/>
        </w:rPr>
      </w:pPr>
      <w:r w:rsidRPr="009A7F81">
        <w:rPr>
          <w:sz w:val="28"/>
          <w:szCs w:val="28"/>
          <w:lang w:val="en-US"/>
        </w:rPr>
        <w:t xml:space="preserve"> 1. A bone allograft prepared according to the Marburg Bone Bank system and impregnated with an antibiotic using the original method, in a rabbit model of osteomyelitis, provides a 3.4-fold higher concentration of the antibiotic in blood plasma on day 7 compared with </w:t>
      </w:r>
      <w:proofErr w:type="spellStart"/>
      <w:r w:rsidRPr="009A7F81">
        <w:rPr>
          <w:sz w:val="28"/>
          <w:szCs w:val="28"/>
          <w:lang w:val="en-US"/>
        </w:rPr>
        <w:t>PerOssal</w:t>
      </w:r>
      <w:proofErr w:type="spellEnd"/>
      <w:r w:rsidRPr="009A7F81">
        <w:rPr>
          <w:sz w:val="28"/>
          <w:szCs w:val="28"/>
          <w:lang w:val="en-US"/>
        </w:rPr>
        <w:t>.</w:t>
      </w:r>
    </w:p>
    <w:p w14:paraId="2FEDB466" w14:textId="54A8F1DF" w:rsidR="009A7F81" w:rsidRPr="009A7F81" w:rsidRDefault="009A7F81" w:rsidP="009A7F81">
      <w:pPr>
        <w:pStyle w:val="TableParagraph"/>
        <w:rPr>
          <w:sz w:val="28"/>
          <w:szCs w:val="28"/>
          <w:lang w:val="en-US"/>
        </w:rPr>
      </w:pPr>
      <w:r w:rsidRPr="009A7F81">
        <w:rPr>
          <w:sz w:val="28"/>
          <w:szCs w:val="28"/>
          <w:lang w:val="en-US"/>
        </w:rPr>
        <w:t xml:space="preserve"> 2. A bone allograft prepared according to the Marburg Bone Bank system and impregnated with an antibiotic using the original method, in a rabbit model of osteomyelitis, provides a </w:t>
      </w:r>
      <w:r w:rsidR="00324344" w:rsidRPr="00324344">
        <w:rPr>
          <w:sz w:val="28"/>
          <w:szCs w:val="28"/>
          <w:lang w:val="en-US"/>
        </w:rPr>
        <w:t>5</w:t>
      </w:r>
      <w:r w:rsidRPr="009A7F81">
        <w:rPr>
          <w:sz w:val="28"/>
          <w:szCs w:val="28"/>
          <w:lang w:val="en-US"/>
        </w:rPr>
        <w:t xml:space="preserve">.2-fold higher concentration of the antibiotic in soft tissues compared </w:t>
      </w:r>
      <w:r w:rsidR="00324344" w:rsidRPr="009A7F81">
        <w:rPr>
          <w:sz w:val="28"/>
          <w:szCs w:val="28"/>
          <w:lang w:val="en-US"/>
        </w:rPr>
        <w:t xml:space="preserve">on day 7 compared with </w:t>
      </w:r>
      <w:proofErr w:type="spellStart"/>
      <w:r w:rsidR="00324344" w:rsidRPr="009A7F81">
        <w:rPr>
          <w:sz w:val="28"/>
          <w:szCs w:val="28"/>
          <w:lang w:val="en-US"/>
        </w:rPr>
        <w:t>PerOssal</w:t>
      </w:r>
      <w:proofErr w:type="spellEnd"/>
    </w:p>
    <w:p w14:paraId="74A403A3" w14:textId="1A121C05" w:rsidR="009A7F81" w:rsidRPr="009A7F81" w:rsidRDefault="009A7F81" w:rsidP="009A7F81">
      <w:pPr>
        <w:pStyle w:val="TableParagraph"/>
        <w:rPr>
          <w:sz w:val="28"/>
          <w:szCs w:val="28"/>
          <w:lang w:val="en-US"/>
        </w:rPr>
      </w:pPr>
      <w:r w:rsidRPr="009A7F81">
        <w:rPr>
          <w:sz w:val="28"/>
          <w:szCs w:val="28"/>
          <w:lang w:val="en-US"/>
        </w:rPr>
        <w:t xml:space="preserve"> 3. An antibiotic-impregnated bone allograft, used as a delivery system, in a rabbit model of osteomyelitis demonstrates, according to radiological assessment, a 39% lower score of osteomyelitis signs on a binary scale compared with a biodegradable material based on nanocrystalline hydroxyapatite.</w:t>
      </w:r>
    </w:p>
    <w:p w14:paraId="6C59E034" w14:textId="09D46E7B" w:rsidR="009A7F81" w:rsidRPr="009A7F81" w:rsidRDefault="009A7F81" w:rsidP="009A7F81">
      <w:pPr>
        <w:pStyle w:val="TableParagraph"/>
        <w:rPr>
          <w:b/>
          <w:bCs/>
          <w:sz w:val="28"/>
          <w:szCs w:val="28"/>
          <w:lang w:val="en-US"/>
        </w:rPr>
      </w:pPr>
      <w:r w:rsidRPr="009A7F81">
        <w:rPr>
          <w:b/>
          <w:bCs/>
          <w:sz w:val="28"/>
          <w:szCs w:val="28"/>
          <w:lang w:val="en-US"/>
        </w:rPr>
        <w:t xml:space="preserve">     Practical Significance of the Results</w:t>
      </w:r>
    </w:p>
    <w:p w14:paraId="27653FF0" w14:textId="24FFA0BE" w:rsidR="009A7F81" w:rsidRPr="009A7F81" w:rsidRDefault="009A7F81" w:rsidP="009A7F81">
      <w:pPr>
        <w:pStyle w:val="TableParagraph"/>
        <w:rPr>
          <w:sz w:val="28"/>
          <w:szCs w:val="28"/>
          <w:lang w:val="en-US"/>
        </w:rPr>
      </w:pPr>
      <w:r w:rsidRPr="009A7F81">
        <w:rPr>
          <w:sz w:val="28"/>
          <w:szCs w:val="28"/>
          <w:lang w:val="en-US"/>
        </w:rPr>
        <w:t>The findings obtained in the dissertation can be used to develop a method for the application of a perforated bone allograft as an antibiotic carrier and for the reconstruction of bone defects in the treatment of chronic infection, as well as a technology for the clinical use of antibiotic-impregnated bone allografts in the treatment of chronic osteomyelitis following appropriate procedures for implementation into clinical practice.</w:t>
      </w:r>
    </w:p>
    <w:p w14:paraId="69F6A088" w14:textId="14152260" w:rsidR="009A7F81" w:rsidRPr="009A7F81" w:rsidRDefault="009A7F81" w:rsidP="009A7F81">
      <w:pPr>
        <w:pStyle w:val="TableParagraph"/>
        <w:rPr>
          <w:b/>
          <w:bCs/>
          <w:sz w:val="28"/>
          <w:szCs w:val="28"/>
          <w:lang w:val="en-US"/>
        </w:rPr>
      </w:pPr>
      <w:r w:rsidRPr="009A7F81">
        <w:rPr>
          <w:b/>
          <w:bCs/>
          <w:sz w:val="28"/>
          <w:szCs w:val="28"/>
          <w:lang w:val="en-US"/>
        </w:rPr>
        <w:lastRenderedPageBreak/>
        <w:t xml:space="preserve">      Implementation into Practice</w:t>
      </w:r>
    </w:p>
    <w:p w14:paraId="0F182A3F" w14:textId="4071DC0F" w:rsidR="009A7F81" w:rsidRPr="009A7F81" w:rsidRDefault="009A7F81" w:rsidP="009A7F81">
      <w:pPr>
        <w:pStyle w:val="TableParagraph"/>
        <w:rPr>
          <w:sz w:val="28"/>
          <w:szCs w:val="28"/>
          <w:lang w:val="en-US"/>
        </w:rPr>
      </w:pPr>
      <w:r w:rsidRPr="009A7F81">
        <w:rPr>
          <w:sz w:val="28"/>
          <w:szCs w:val="28"/>
          <w:lang w:val="en-US"/>
        </w:rPr>
        <w:t>Three implementation acts have been formalized for incorporation into the educational process:</w:t>
      </w:r>
      <w:r w:rsidR="00382839">
        <w:rPr>
          <w:sz w:val="28"/>
          <w:szCs w:val="28"/>
          <w:lang w:val="en-US"/>
        </w:rPr>
        <w:t xml:space="preserve"> </w:t>
      </w:r>
      <w:r w:rsidRPr="009A7F81">
        <w:rPr>
          <w:sz w:val="28"/>
          <w:szCs w:val="28"/>
          <w:lang w:val="en-US"/>
        </w:rPr>
        <w:t>“Application of a device for fixation of laboratory animals”;</w:t>
      </w:r>
    </w:p>
    <w:p w14:paraId="33255EC4" w14:textId="5F63023D" w:rsidR="00382839" w:rsidRDefault="009A7F81" w:rsidP="009A7F81">
      <w:pPr>
        <w:pStyle w:val="TableParagraph"/>
        <w:rPr>
          <w:sz w:val="28"/>
          <w:szCs w:val="28"/>
          <w:lang w:val="en-US"/>
        </w:rPr>
      </w:pPr>
      <w:r w:rsidRPr="009A7F81">
        <w:rPr>
          <w:sz w:val="28"/>
          <w:szCs w:val="28"/>
          <w:lang w:val="en-US"/>
        </w:rPr>
        <w:t>“Application of the computer program ‘</w:t>
      </w:r>
      <w:proofErr w:type="spellStart"/>
      <w:r w:rsidRPr="009A7F81">
        <w:rPr>
          <w:sz w:val="28"/>
          <w:szCs w:val="28"/>
          <w:lang w:val="en-US"/>
        </w:rPr>
        <w:t>AllograftKuat</w:t>
      </w:r>
      <w:proofErr w:type="spellEnd"/>
      <w:r w:rsidRPr="009A7F81">
        <w:rPr>
          <w:sz w:val="28"/>
          <w:szCs w:val="28"/>
          <w:lang w:val="en-US"/>
        </w:rPr>
        <w:t>’”;</w:t>
      </w:r>
      <w:r w:rsidR="00382839">
        <w:rPr>
          <w:sz w:val="28"/>
          <w:szCs w:val="28"/>
          <w:lang w:val="en-US"/>
        </w:rPr>
        <w:t xml:space="preserve"> </w:t>
      </w:r>
      <w:r w:rsidRPr="009A7F81">
        <w:rPr>
          <w:sz w:val="28"/>
          <w:szCs w:val="28"/>
          <w:lang w:val="en-US"/>
        </w:rPr>
        <w:t>“Application of a device for perforation of a bone allograft”</w:t>
      </w:r>
      <w:r w:rsidR="00382839">
        <w:rPr>
          <w:sz w:val="28"/>
          <w:szCs w:val="28"/>
          <w:lang w:val="en-US"/>
        </w:rPr>
        <w:t xml:space="preserve">  </w:t>
      </w:r>
    </w:p>
    <w:p w14:paraId="092A7347" w14:textId="4FE6F0B8" w:rsidR="009A7F81" w:rsidRPr="009A7F81" w:rsidRDefault="009A7F81" w:rsidP="009A7F81">
      <w:pPr>
        <w:pStyle w:val="TableParagraph"/>
        <w:rPr>
          <w:sz w:val="28"/>
          <w:szCs w:val="28"/>
          <w:lang w:val="en-US"/>
        </w:rPr>
      </w:pPr>
      <w:r w:rsidRPr="00324344">
        <w:rPr>
          <w:sz w:val="28"/>
          <w:szCs w:val="28"/>
          <w:lang w:val="en-US"/>
        </w:rPr>
        <w:t xml:space="preserve">(Appendices </w:t>
      </w:r>
      <w:r w:rsidR="00324344">
        <w:rPr>
          <w:sz w:val="28"/>
          <w:szCs w:val="28"/>
        </w:rPr>
        <w:t>Ж</w:t>
      </w:r>
      <w:r w:rsidRPr="00324344">
        <w:rPr>
          <w:sz w:val="28"/>
          <w:szCs w:val="28"/>
          <w:lang w:val="en-US"/>
        </w:rPr>
        <w:t xml:space="preserve">, </w:t>
      </w:r>
      <w:r w:rsidR="00324344">
        <w:rPr>
          <w:sz w:val="28"/>
          <w:szCs w:val="28"/>
        </w:rPr>
        <w:t>З</w:t>
      </w:r>
      <w:r w:rsidRPr="00324344">
        <w:rPr>
          <w:sz w:val="28"/>
          <w:szCs w:val="28"/>
          <w:lang w:val="en-US"/>
        </w:rPr>
        <w:t xml:space="preserve">, </w:t>
      </w:r>
      <w:r w:rsidR="00324344">
        <w:rPr>
          <w:sz w:val="28"/>
          <w:szCs w:val="28"/>
        </w:rPr>
        <w:t>И</w:t>
      </w:r>
      <w:r w:rsidRPr="00324344">
        <w:rPr>
          <w:sz w:val="28"/>
          <w:szCs w:val="28"/>
          <w:lang w:val="en-US"/>
        </w:rPr>
        <w:t xml:space="preserve"> of the dissertation).</w:t>
      </w:r>
    </w:p>
    <w:p w14:paraId="3DCB84DA" w14:textId="4BB75779" w:rsidR="009A7F81" w:rsidRPr="009A7F81" w:rsidRDefault="009A7F81" w:rsidP="009A7F81">
      <w:pPr>
        <w:pStyle w:val="TableParagraph"/>
        <w:rPr>
          <w:b/>
          <w:bCs/>
          <w:sz w:val="28"/>
          <w:szCs w:val="28"/>
          <w:lang w:val="en-US"/>
        </w:rPr>
      </w:pPr>
      <w:r w:rsidRPr="009A7F81">
        <w:rPr>
          <w:b/>
          <w:bCs/>
          <w:sz w:val="28"/>
          <w:szCs w:val="28"/>
          <w:lang w:val="en-US"/>
        </w:rPr>
        <w:t xml:space="preserve">     Relationship of the Dissertation with Other Research Works</w:t>
      </w:r>
    </w:p>
    <w:p w14:paraId="43B486BF" w14:textId="77777777" w:rsidR="009A7F81" w:rsidRPr="009A7F81" w:rsidRDefault="009A7F81" w:rsidP="009A7F81">
      <w:pPr>
        <w:pStyle w:val="TableParagraph"/>
        <w:rPr>
          <w:sz w:val="28"/>
          <w:szCs w:val="28"/>
          <w:lang w:val="en-US"/>
        </w:rPr>
      </w:pPr>
      <w:r w:rsidRPr="009A7F81">
        <w:rPr>
          <w:sz w:val="28"/>
          <w:szCs w:val="28"/>
          <w:lang w:val="en-US"/>
        </w:rPr>
        <w:t>The dissertation was carried out within the framework of a research project funded by the Ministry of Science and Higher Education of the Republic of Kazakhstan (grant No. AP05133674):</w:t>
      </w:r>
    </w:p>
    <w:p w14:paraId="3DF7B292" w14:textId="53A3A27C" w:rsidR="009A7F81" w:rsidRPr="009A7F81" w:rsidRDefault="009A7F81" w:rsidP="009A7F81">
      <w:pPr>
        <w:pStyle w:val="TableParagraph"/>
        <w:rPr>
          <w:sz w:val="28"/>
          <w:szCs w:val="28"/>
          <w:lang w:val="en-US"/>
        </w:rPr>
      </w:pPr>
      <w:r w:rsidRPr="009A7F81">
        <w:rPr>
          <w:sz w:val="28"/>
          <w:szCs w:val="28"/>
          <w:lang w:val="en-US"/>
        </w:rPr>
        <w:t>“Development and application of an antibiotic-impregnated allograft prepared according to the Marburg Bone Bank system for the treatment of osteomyelitis.”</w:t>
      </w:r>
    </w:p>
    <w:p w14:paraId="744C8663" w14:textId="08B0C330" w:rsidR="009A7F81" w:rsidRPr="009A7F81" w:rsidRDefault="009A7F81" w:rsidP="009A7F81">
      <w:pPr>
        <w:pStyle w:val="TableParagraph"/>
        <w:rPr>
          <w:b/>
          <w:bCs/>
          <w:sz w:val="28"/>
          <w:szCs w:val="28"/>
          <w:lang w:val="en-US"/>
        </w:rPr>
      </w:pPr>
      <w:r>
        <w:rPr>
          <w:sz w:val="28"/>
          <w:szCs w:val="28"/>
          <w:lang w:val="en-US"/>
        </w:rPr>
        <w:t xml:space="preserve">     </w:t>
      </w:r>
      <w:r w:rsidRPr="009A7F81">
        <w:rPr>
          <w:b/>
          <w:bCs/>
          <w:sz w:val="28"/>
          <w:szCs w:val="28"/>
          <w:lang w:val="en-US"/>
        </w:rPr>
        <w:t>Author’s Contribution</w:t>
      </w:r>
    </w:p>
    <w:p w14:paraId="30DF848B" w14:textId="003CB074" w:rsidR="009A7F81" w:rsidRPr="009A7F81" w:rsidRDefault="009A7F81" w:rsidP="009A7F81">
      <w:pPr>
        <w:pStyle w:val="TableParagraph"/>
        <w:rPr>
          <w:sz w:val="28"/>
          <w:szCs w:val="28"/>
          <w:lang w:val="en-US"/>
        </w:rPr>
      </w:pPr>
      <w:r w:rsidRPr="009A7F81">
        <w:rPr>
          <w:sz w:val="28"/>
          <w:szCs w:val="28"/>
          <w:lang w:val="en-US"/>
        </w:rPr>
        <w:t>The author, together with the scientific supervisor and the research team, conducted the experimental study, as well as the analysis and statistical processing of the obtained results. All surgical procedures, measurements, and observations of both experimental and control animals were performed by the author in collaboration with the research team. All materials were systematized, documented, and prepared in the form of the dissertation personally by the author.</w:t>
      </w:r>
    </w:p>
    <w:p w14:paraId="55730D8C" w14:textId="36C35B06" w:rsidR="009A7F81" w:rsidRPr="009A7F81" w:rsidRDefault="009A7F81" w:rsidP="009A7F81">
      <w:pPr>
        <w:pStyle w:val="TableParagraph"/>
        <w:rPr>
          <w:b/>
          <w:bCs/>
          <w:sz w:val="28"/>
          <w:szCs w:val="28"/>
          <w:lang w:val="en-US"/>
        </w:rPr>
      </w:pPr>
      <w:r w:rsidRPr="009A7F81">
        <w:rPr>
          <w:b/>
          <w:bCs/>
          <w:sz w:val="28"/>
          <w:szCs w:val="28"/>
          <w:lang w:val="en-US"/>
        </w:rPr>
        <w:t xml:space="preserve">      Approbation of the Work</w:t>
      </w:r>
    </w:p>
    <w:p w14:paraId="39DB9125" w14:textId="77777777" w:rsidR="009A7F81" w:rsidRPr="009A7F81" w:rsidRDefault="009A7F81" w:rsidP="009A7F81">
      <w:pPr>
        <w:pStyle w:val="TableParagraph"/>
        <w:rPr>
          <w:sz w:val="28"/>
          <w:szCs w:val="28"/>
          <w:lang w:val="en-US"/>
        </w:rPr>
      </w:pPr>
      <w:r w:rsidRPr="009A7F81">
        <w:rPr>
          <w:sz w:val="28"/>
          <w:szCs w:val="28"/>
          <w:lang w:val="en-US"/>
        </w:rPr>
        <w:t>The main provisions and scientific results obtained during the dissertation research were presented at the following scientific forums:</w:t>
      </w:r>
    </w:p>
    <w:p w14:paraId="375C17C0" w14:textId="77777777" w:rsidR="009A7F81" w:rsidRPr="009A7F81" w:rsidRDefault="009A7F81" w:rsidP="009A7F81">
      <w:pPr>
        <w:pStyle w:val="TableParagraph"/>
        <w:rPr>
          <w:sz w:val="28"/>
          <w:szCs w:val="28"/>
          <w:lang w:val="en-US"/>
        </w:rPr>
      </w:pPr>
      <w:r w:rsidRPr="009A7F81">
        <w:rPr>
          <w:sz w:val="28"/>
          <w:szCs w:val="28"/>
          <w:lang w:val="en-US"/>
        </w:rPr>
        <w:t xml:space="preserve"> 1. Republican Scientific and Practical Conference with international participation “Polytrauma. Modern Approaches to Diagnosis and Comprehensive Treatment,” dedicated to the 80th anniversary of Doctor of Medical Sciences, Professor </w:t>
      </w:r>
      <w:proofErr w:type="spellStart"/>
      <w:r w:rsidRPr="009A7F81">
        <w:rPr>
          <w:sz w:val="28"/>
          <w:szCs w:val="28"/>
          <w:lang w:val="en-US"/>
        </w:rPr>
        <w:t>Amangazy</w:t>
      </w:r>
      <w:proofErr w:type="spellEnd"/>
      <w:r w:rsidRPr="009A7F81">
        <w:rPr>
          <w:sz w:val="28"/>
          <w:szCs w:val="28"/>
          <w:lang w:val="en-US"/>
        </w:rPr>
        <w:t xml:space="preserve"> </w:t>
      </w:r>
      <w:proofErr w:type="spellStart"/>
      <w:r w:rsidRPr="009A7F81">
        <w:rPr>
          <w:sz w:val="28"/>
          <w:szCs w:val="28"/>
          <w:lang w:val="en-US"/>
        </w:rPr>
        <w:t>Masalimovich</w:t>
      </w:r>
      <w:proofErr w:type="spellEnd"/>
      <w:r w:rsidRPr="009A7F81">
        <w:rPr>
          <w:sz w:val="28"/>
          <w:szCs w:val="28"/>
          <w:lang w:val="en-US"/>
        </w:rPr>
        <w:t xml:space="preserve"> </w:t>
      </w:r>
      <w:proofErr w:type="spellStart"/>
      <w:r w:rsidRPr="009A7F81">
        <w:rPr>
          <w:sz w:val="28"/>
          <w:szCs w:val="28"/>
          <w:lang w:val="en-US"/>
        </w:rPr>
        <w:t>Zhanaspayev</w:t>
      </w:r>
      <w:proofErr w:type="spellEnd"/>
      <w:r w:rsidRPr="009A7F81">
        <w:rPr>
          <w:sz w:val="28"/>
          <w:szCs w:val="28"/>
          <w:lang w:val="en-US"/>
        </w:rPr>
        <w:t xml:space="preserve"> (</w:t>
      </w:r>
      <w:proofErr w:type="spellStart"/>
      <w:r w:rsidRPr="009A7F81">
        <w:rPr>
          <w:sz w:val="28"/>
          <w:szCs w:val="28"/>
          <w:lang w:val="en-US"/>
        </w:rPr>
        <w:t>Semey</w:t>
      </w:r>
      <w:proofErr w:type="spellEnd"/>
      <w:r w:rsidRPr="009A7F81">
        <w:rPr>
          <w:sz w:val="28"/>
          <w:szCs w:val="28"/>
          <w:lang w:val="en-US"/>
        </w:rPr>
        <w:t>, Republic of Kazakhstan, December 26, 2020);</w:t>
      </w:r>
    </w:p>
    <w:p w14:paraId="6307FC63" w14:textId="77777777" w:rsidR="009A7F81" w:rsidRPr="009A7F81" w:rsidRDefault="009A7F81" w:rsidP="009A7F81">
      <w:pPr>
        <w:pStyle w:val="TableParagraph"/>
        <w:rPr>
          <w:sz w:val="28"/>
          <w:szCs w:val="28"/>
          <w:lang w:val="en-US"/>
        </w:rPr>
      </w:pPr>
      <w:r w:rsidRPr="009A7F81">
        <w:rPr>
          <w:sz w:val="28"/>
          <w:szCs w:val="28"/>
          <w:lang w:val="en-US"/>
        </w:rPr>
        <w:t xml:space="preserve"> 2. International Scientific and Practical Conference “Horizons of Modern Traumatology and Orthopedics” (Turkestan, September 15–16, 2022);</w:t>
      </w:r>
    </w:p>
    <w:p w14:paraId="2B75DBA6" w14:textId="77777777" w:rsidR="009A7F81" w:rsidRDefault="009A7F81" w:rsidP="009A7F81">
      <w:pPr>
        <w:pStyle w:val="TableParagraph"/>
        <w:rPr>
          <w:sz w:val="28"/>
          <w:szCs w:val="28"/>
          <w:lang w:val="en-US"/>
        </w:rPr>
      </w:pPr>
      <w:r w:rsidRPr="009A7F81">
        <w:rPr>
          <w:sz w:val="28"/>
          <w:szCs w:val="28"/>
          <w:lang w:val="en-US"/>
        </w:rPr>
        <w:t xml:space="preserve"> 3. 21st European Congress of Trauma and Emergency Surgery (Oslo, Norway, April 24–26, 2022);</w:t>
      </w:r>
    </w:p>
    <w:p w14:paraId="24B852EC" w14:textId="6378464B" w:rsidR="009A7F81" w:rsidRDefault="009A7F81" w:rsidP="009A7F81">
      <w:pPr>
        <w:pStyle w:val="TableParagraph"/>
        <w:rPr>
          <w:sz w:val="28"/>
          <w:szCs w:val="28"/>
          <w:lang w:val="en-US"/>
        </w:rPr>
      </w:pPr>
      <w:r w:rsidRPr="009A7F81">
        <w:rPr>
          <w:sz w:val="28"/>
          <w:szCs w:val="28"/>
          <w:lang w:val="en-US"/>
        </w:rPr>
        <w:t>4. Young Scientists Competition “</w:t>
      </w:r>
      <w:proofErr w:type="spellStart"/>
      <w:r w:rsidRPr="009A7F81">
        <w:rPr>
          <w:sz w:val="28"/>
          <w:szCs w:val="28"/>
          <w:lang w:val="en-US"/>
        </w:rPr>
        <w:t>Batpenov</w:t>
      </w:r>
      <w:proofErr w:type="spellEnd"/>
      <w:r w:rsidRPr="009A7F81">
        <w:rPr>
          <w:sz w:val="28"/>
          <w:szCs w:val="28"/>
          <w:lang w:val="en-US"/>
        </w:rPr>
        <w:t xml:space="preserve"> Readings” with international participation. The presentation titled “Comparison of Local Antibiotic Delivery Systems in the Treatment of Osteomyelitis in Rabbits in an In Vivo Experiment” was awarded 3rd place (Astana, 2025).</w:t>
      </w:r>
    </w:p>
    <w:p w14:paraId="2A6D9415" w14:textId="48D6A99E" w:rsidR="009A7F81" w:rsidRPr="009A7F81" w:rsidRDefault="009A7F81" w:rsidP="009A7F81">
      <w:pPr>
        <w:pStyle w:val="TableParagraph"/>
        <w:rPr>
          <w:bCs/>
          <w:color w:val="000000"/>
          <w:sz w:val="28"/>
          <w:szCs w:val="28"/>
          <w:lang w:val="en-US" w:eastAsia="ru-RU"/>
        </w:rPr>
      </w:pPr>
      <w:r>
        <w:rPr>
          <w:sz w:val="28"/>
          <w:szCs w:val="28"/>
          <w:lang w:val="en-US"/>
        </w:rPr>
        <w:t xml:space="preserve">5. </w:t>
      </w:r>
      <w:r w:rsidR="00F334A2" w:rsidRPr="00A40587">
        <w:rPr>
          <w:sz w:val="28"/>
          <w:szCs w:val="28"/>
          <w:lang w:val="en-US" w:eastAsia="ru-RU"/>
        </w:rPr>
        <w:t>Meeting of the Regional Society of Traumatologists and Orthopedists in the Karaganda region (Order No. 9-0 of the Karaganda Region Health Department dated 06.01.2026) - oral report "</w:t>
      </w:r>
      <w:r w:rsidR="00F334A2" w:rsidRPr="00A40587">
        <w:rPr>
          <w:bCs/>
          <w:color w:val="000000"/>
          <w:sz w:val="28"/>
          <w:szCs w:val="28"/>
          <w:lang w:val="en-US" w:eastAsia="ru-RU"/>
        </w:rPr>
        <w:t xml:space="preserve">Comparison of local antibiotic transport systems in the treatment of osteomyelitis in rabbits in </w:t>
      </w:r>
      <w:r w:rsidR="00F334A2" w:rsidRPr="00A40587">
        <w:rPr>
          <w:bCs/>
          <w:i/>
          <w:color w:val="000000"/>
          <w:sz w:val="28"/>
          <w:szCs w:val="28"/>
          <w:lang w:val="en-US" w:eastAsia="ru-RU"/>
        </w:rPr>
        <w:t>in an in vivo experiment</w:t>
      </w:r>
      <w:r w:rsidR="00F334A2" w:rsidRPr="00A40587">
        <w:rPr>
          <w:bCs/>
          <w:color w:val="000000"/>
          <w:sz w:val="28"/>
          <w:szCs w:val="28"/>
          <w:lang w:val="en-US" w:eastAsia="ru-RU"/>
        </w:rPr>
        <w:t>".</w:t>
      </w:r>
    </w:p>
    <w:p w14:paraId="7A0A74DC" w14:textId="76989690" w:rsidR="00A54905" w:rsidRPr="009A7F81" w:rsidRDefault="00A54905" w:rsidP="009A7F81">
      <w:pPr>
        <w:widowControl/>
        <w:autoSpaceDE/>
        <w:autoSpaceDN/>
        <w:ind w:firstLine="709"/>
        <w:contextualSpacing/>
        <w:jc w:val="both"/>
        <w:rPr>
          <w:b/>
          <w:sz w:val="28"/>
          <w:szCs w:val="28"/>
          <w:lang w:val="en-US" w:eastAsia="ru-RU"/>
        </w:rPr>
      </w:pPr>
      <w:r w:rsidRPr="00A40587">
        <w:rPr>
          <w:b/>
          <w:sz w:val="28"/>
          <w:szCs w:val="28"/>
          <w:lang w:val="en-US" w:eastAsia="ru-RU"/>
        </w:rPr>
        <w:t xml:space="preserve"> Information about publishing activity</w:t>
      </w:r>
      <w:bookmarkStart w:id="0" w:name="OLE_LINK7"/>
      <w:bookmarkStart w:id="1" w:name="OLE_LINK8"/>
    </w:p>
    <w:p w14:paraId="1A1BC5E4" w14:textId="77777777" w:rsidR="009A7F81" w:rsidRPr="009A7F81" w:rsidRDefault="009A7F81" w:rsidP="009A7F81">
      <w:pPr>
        <w:ind w:firstLine="709"/>
        <w:jc w:val="both"/>
        <w:rPr>
          <w:color w:val="000000"/>
          <w:sz w:val="28"/>
          <w:szCs w:val="28"/>
          <w:lang w:val="kk-KZ"/>
        </w:rPr>
      </w:pPr>
      <w:r w:rsidRPr="009A7F81">
        <w:rPr>
          <w:color w:val="000000"/>
          <w:sz w:val="28"/>
          <w:szCs w:val="28"/>
          <w:lang w:val="kk-KZ"/>
        </w:rPr>
        <w:t xml:space="preserve">A </w:t>
      </w:r>
      <w:proofErr w:type="spellStart"/>
      <w:r w:rsidRPr="009A7F81">
        <w:rPr>
          <w:color w:val="000000"/>
          <w:sz w:val="28"/>
          <w:szCs w:val="28"/>
          <w:lang w:val="kk-KZ"/>
        </w:rPr>
        <w:t>total</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12 </w:t>
      </w:r>
      <w:proofErr w:type="spellStart"/>
      <w:r w:rsidRPr="009A7F81">
        <w:rPr>
          <w:color w:val="000000"/>
          <w:sz w:val="28"/>
          <w:szCs w:val="28"/>
          <w:lang w:val="kk-KZ"/>
        </w:rPr>
        <w:t>scientific</w:t>
      </w:r>
      <w:proofErr w:type="spellEnd"/>
      <w:r w:rsidRPr="009A7F81">
        <w:rPr>
          <w:color w:val="000000"/>
          <w:sz w:val="28"/>
          <w:szCs w:val="28"/>
          <w:lang w:val="kk-KZ"/>
        </w:rPr>
        <w:t xml:space="preserve"> </w:t>
      </w:r>
      <w:proofErr w:type="spellStart"/>
      <w:r w:rsidRPr="009A7F81">
        <w:rPr>
          <w:color w:val="000000"/>
          <w:sz w:val="28"/>
          <w:szCs w:val="28"/>
          <w:lang w:val="kk-KZ"/>
        </w:rPr>
        <w:t>papers</w:t>
      </w:r>
      <w:proofErr w:type="spellEnd"/>
      <w:r w:rsidRPr="009A7F81">
        <w:rPr>
          <w:color w:val="000000"/>
          <w:sz w:val="28"/>
          <w:szCs w:val="28"/>
          <w:lang w:val="kk-KZ"/>
        </w:rPr>
        <w:t xml:space="preserve"> </w:t>
      </w:r>
      <w:proofErr w:type="spellStart"/>
      <w:r w:rsidRPr="009A7F81">
        <w:rPr>
          <w:color w:val="000000"/>
          <w:sz w:val="28"/>
          <w:szCs w:val="28"/>
          <w:lang w:val="kk-KZ"/>
        </w:rPr>
        <w:t>have</w:t>
      </w:r>
      <w:proofErr w:type="spellEnd"/>
      <w:r w:rsidRPr="009A7F81">
        <w:rPr>
          <w:color w:val="000000"/>
          <w:sz w:val="28"/>
          <w:szCs w:val="28"/>
          <w:lang w:val="kk-KZ"/>
        </w:rPr>
        <w:t xml:space="preserve"> </w:t>
      </w:r>
      <w:proofErr w:type="spellStart"/>
      <w:r w:rsidRPr="009A7F81">
        <w:rPr>
          <w:color w:val="000000"/>
          <w:sz w:val="28"/>
          <w:szCs w:val="28"/>
          <w:lang w:val="kk-KZ"/>
        </w:rPr>
        <w:t>been</w:t>
      </w:r>
      <w:proofErr w:type="spellEnd"/>
      <w:r w:rsidRPr="009A7F81">
        <w:rPr>
          <w:color w:val="000000"/>
          <w:sz w:val="28"/>
          <w:szCs w:val="28"/>
          <w:lang w:val="kk-KZ"/>
        </w:rPr>
        <w:t xml:space="preserve"> </w:t>
      </w:r>
      <w:proofErr w:type="spellStart"/>
      <w:r w:rsidRPr="009A7F81">
        <w:rPr>
          <w:color w:val="000000"/>
          <w:sz w:val="28"/>
          <w:szCs w:val="28"/>
          <w:lang w:val="kk-KZ"/>
        </w:rPr>
        <w:t>published</w:t>
      </w:r>
      <w:proofErr w:type="spellEnd"/>
      <w:r w:rsidRPr="009A7F81">
        <w:rPr>
          <w:color w:val="000000"/>
          <w:sz w:val="28"/>
          <w:szCs w:val="28"/>
          <w:lang w:val="kk-KZ"/>
        </w:rPr>
        <w:t xml:space="preserve"> </w:t>
      </w:r>
      <w:proofErr w:type="spellStart"/>
      <w:r w:rsidRPr="009A7F81">
        <w:rPr>
          <w:color w:val="000000"/>
          <w:sz w:val="28"/>
          <w:szCs w:val="28"/>
          <w:lang w:val="kk-KZ"/>
        </w:rPr>
        <w:t>on</w:t>
      </w:r>
      <w:proofErr w:type="spellEnd"/>
      <w:r w:rsidRPr="009A7F81">
        <w:rPr>
          <w:color w:val="000000"/>
          <w:sz w:val="28"/>
          <w:szCs w:val="28"/>
          <w:lang w:val="kk-KZ"/>
        </w:rPr>
        <w:t xml:space="preserve"> </w:t>
      </w:r>
      <w:proofErr w:type="spellStart"/>
      <w:r w:rsidRPr="009A7F81">
        <w:rPr>
          <w:color w:val="000000"/>
          <w:sz w:val="28"/>
          <w:szCs w:val="28"/>
          <w:lang w:val="kk-KZ"/>
        </w:rPr>
        <w:t>the</w:t>
      </w:r>
      <w:proofErr w:type="spellEnd"/>
      <w:r w:rsidRPr="009A7F81">
        <w:rPr>
          <w:color w:val="000000"/>
          <w:sz w:val="28"/>
          <w:szCs w:val="28"/>
          <w:lang w:val="kk-KZ"/>
        </w:rPr>
        <w:t xml:space="preserve"> </w:t>
      </w:r>
      <w:proofErr w:type="spellStart"/>
      <w:r w:rsidRPr="009A7F81">
        <w:rPr>
          <w:color w:val="000000"/>
          <w:sz w:val="28"/>
          <w:szCs w:val="28"/>
          <w:lang w:val="kk-KZ"/>
        </w:rPr>
        <w:t>topic</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the</w:t>
      </w:r>
      <w:proofErr w:type="spellEnd"/>
      <w:r w:rsidRPr="009A7F81">
        <w:rPr>
          <w:color w:val="000000"/>
          <w:sz w:val="28"/>
          <w:szCs w:val="28"/>
          <w:lang w:val="kk-KZ"/>
        </w:rPr>
        <w:t xml:space="preserve"> </w:t>
      </w:r>
      <w:proofErr w:type="spellStart"/>
      <w:r w:rsidRPr="009A7F81">
        <w:rPr>
          <w:color w:val="000000"/>
          <w:sz w:val="28"/>
          <w:szCs w:val="28"/>
          <w:lang w:val="kk-KZ"/>
        </w:rPr>
        <w:t>dissertation</w:t>
      </w:r>
      <w:proofErr w:type="spellEnd"/>
      <w:r w:rsidRPr="009A7F81">
        <w:rPr>
          <w:color w:val="000000"/>
          <w:sz w:val="28"/>
          <w:szCs w:val="28"/>
          <w:lang w:val="kk-KZ"/>
        </w:rPr>
        <w:t xml:space="preserve">, </w:t>
      </w:r>
      <w:proofErr w:type="spellStart"/>
      <w:r w:rsidRPr="009A7F81">
        <w:rPr>
          <w:color w:val="000000"/>
          <w:sz w:val="28"/>
          <w:szCs w:val="28"/>
          <w:lang w:val="kk-KZ"/>
        </w:rPr>
        <w:t>including</w:t>
      </w:r>
      <w:proofErr w:type="spellEnd"/>
      <w:r w:rsidRPr="009A7F81">
        <w:rPr>
          <w:color w:val="000000"/>
          <w:sz w:val="28"/>
          <w:szCs w:val="28"/>
          <w:lang w:val="kk-KZ"/>
        </w:rPr>
        <w:t xml:space="preserve"> 3 </w:t>
      </w:r>
      <w:proofErr w:type="spellStart"/>
      <w:r w:rsidRPr="009A7F81">
        <w:rPr>
          <w:color w:val="000000"/>
          <w:sz w:val="28"/>
          <w:szCs w:val="28"/>
          <w:lang w:val="kk-KZ"/>
        </w:rPr>
        <w:t>articles</w:t>
      </w:r>
      <w:proofErr w:type="spellEnd"/>
      <w:r w:rsidRPr="009A7F81">
        <w:rPr>
          <w:color w:val="000000"/>
          <w:sz w:val="28"/>
          <w:szCs w:val="28"/>
          <w:lang w:val="kk-KZ"/>
        </w:rPr>
        <w:t xml:space="preserve"> </w:t>
      </w:r>
      <w:proofErr w:type="spellStart"/>
      <w:r w:rsidRPr="009A7F81">
        <w:rPr>
          <w:color w:val="000000"/>
          <w:sz w:val="28"/>
          <w:szCs w:val="28"/>
          <w:lang w:val="kk-KZ"/>
        </w:rPr>
        <w:t>in</w:t>
      </w:r>
      <w:proofErr w:type="spellEnd"/>
      <w:r w:rsidRPr="009A7F81">
        <w:rPr>
          <w:color w:val="000000"/>
          <w:sz w:val="28"/>
          <w:szCs w:val="28"/>
          <w:lang w:val="kk-KZ"/>
        </w:rPr>
        <w:t xml:space="preserve"> </w:t>
      </w:r>
      <w:proofErr w:type="spellStart"/>
      <w:r w:rsidRPr="009A7F81">
        <w:rPr>
          <w:color w:val="000000"/>
          <w:sz w:val="28"/>
          <w:szCs w:val="28"/>
          <w:lang w:val="kk-KZ"/>
        </w:rPr>
        <w:t>journals</w:t>
      </w:r>
      <w:proofErr w:type="spellEnd"/>
      <w:r w:rsidRPr="009A7F81">
        <w:rPr>
          <w:color w:val="000000"/>
          <w:sz w:val="28"/>
          <w:szCs w:val="28"/>
          <w:lang w:val="kk-KZ"/>
        </w:rPr>
        <w:t xml:space="preserve"> </w:t>
      </w:r>
      <w:proofErr w:type="spellStart"/>
      <w:r w:rsidRPr="009A7F81">
        <w:rPr>
          <w:color w:val="000000"/>
          <w:sz w:val="28"/>
          <w:szCs w:val="28"/>
          <w:lang w:val="kk-KZ"/>
        </w:rPr>
        <w:t>recommended</w:t>
      </w:r>
      <w:proofErr w:type="spellEnd"/>
      <w:r w:rsidRPr="009A7F81">
        <w:rPr>
          <w:color w:val="000000"/>
          <w:sz w:val="28"/>
          <w:szCs w:val="28"/>
          <w:lang w:val="kk-KZ"/>
        </w:rPr>
        <w:t xml:space="preserve"> </w:t>
      </w:r>
      <w:proofErr w:type="spellStart"/>
      <w:r w:rsidRPr="009A7F81">
        <w:rPr>
          <w:color w:val="000000"/>
          <w:sz w:val="28"/>
          <w:szCs w:val="28"/>
          <w:lang w:val="kk-KZ"/>
        </w:rPr>
        <w:t>by</w:t>
      </w:r>
      <w:proofErr w:type="spellEnd"/>
      <w:r w:rsidRPr="009A7F81">
        <w:rPr>
          <w:color w:val="000000"/>
          <w:sz w:val="28"/>
          <w:szCs w:val="28"/>
          <w:lang w:val="kk-KZ"/>
        </w:rPr>
        <w:t xml:space="preserve"> </w:t>
      </w:r>
      <w:proofErr w:type="spellStart"/>
      <w:r w:rsidRPr="009A7F81">
        <w:rPr>
          <w:color w:val="000000"/>
          <w:sz w:val="28"/>
          <w:szCs w:val="28"/>
          <w:lang w:val="kk-KZ"/>
        </w:rPr>
        <w:t>the</w:t>
      </w:r>
      <w:proofErr w:type="spellEnd"/>
      <w:r w:rsidRPr="009A7F81">
        <w:rPr>
          <w:color w:val="000000"/>
          <w:sz w:val="28"/>
          <w:szCs w:val="28"/>
          <w:lang w:val="kk-KZ"/>
        </w:rPr>
        <w:t xml:space="preserve"> </w:t>
      </w:r>
      <w:proofErr w:type="spellStart"/>
      <w:r w:rsidRPr="009A7F81">
        <w:rPr>
          <w:color w:val="000000"/>
          <w:sz w:val="28"/>
          <w:szCs w:val="28"/>
          <w:lang w:val="kk-KZ"/>
        </w:rPr>
        <w:t>Committee</w:t>
      </w:r>
      <w:proofErr w:type="spellEnd"/>
      <w:r w:rsidRPr="009A7F81">
        <w:rPr>
          <w:color w:val="000000"/>
          <w:sz w:val="28"/>
          <w:szCs w:val="28"/>
          <w:lang w:val="kk-KZ"/>
        </w:rPr>
        <w:t xml:space="preserve"> </w:t>
      </w:r>
      <w:proofErr w:type="spellStart"/>
      <w:r w:rsidRPr="009A7F81">
        <w:rPr>
          <w:color w:val="000000"/>
          <w:sz w:val="28"/>
          <w:szCs w:val="28"/>
          <w:lang w:val="kk-KZ"/>
        </w:rPr>
        <w:t>for</w:t>
      </w:r>
      <w:proofErr w:type="spellEnd"/>
      <w:r w:rsidRPr="009A7F81">
        <w:rPr>
          <w:color w:val="000000"/>
          <w:sz w:val="28"/>
          <w:szCs w:val="28"/>
          <w:lang w:val="kk-KZ"/>
        </w:rPr>
        <w:t xml:space="preserve"> </w:t>
      </w:r>
      <w:proofErr w:type="spellStart"/>
      <w:r w:rsidRPr="009A7F81">
        <w:rPr>
          <w:color w:val="000000"/>
          <w:sz w:val="28"/>
          <w:szCs w:val="28"/>
          <w:lang w:val="kk-KZ"/>
        </w:rPr>
        <w:t>Quality</w:t>
      </w:r>
      <w:proofErr w:type="spellEnd"/>
      <w:r w:rsidRPr="009A7F81">
        <w:rPr>
          <w:color w:val="000000"/>
          <w:sz w:val="28"/>
          <w:szCs w:val="28"/>
          <w:lang w:val="kk-KZ"/>
        </w:rPr>
        <w:t xml:space="preserve"> </w:t>
      </w:r>
      <w:proofErr w:type="spellStart"/>
      <w:r w:rsidRPr="009A7F81">
        <w:rPr>
          <w:color w:val="000000"/>
          <w:sz w:val="28"/>
          <w:szCs w:val="28"/>
          <w:lang w:val="kk-KZ"/>
        </w:rPr>
        <w:t>Assurance</w:t>
      </w:r>
      <w:proofErr w:type="spellEnd"/>
      <w:r w:rsidRPr="009A7F81">
        <w:rPr>
          <w:color w:val="000000"/>
          <w:sz w:val="28"/>
          <w:szCs w:val="28"/>
          <w:lang w:val="kk-KZ"/>
        </w:rPr>
        <w:t xml:space="preserve"> </w:t>
      </w:r>
      <w:proofErr w:type="spellStart"/>
      <w:r w:rsidRPr="009A7F81">
        <w:rPr>
          <w:color w:val="000000"/>
          <w:sz w:val="28"/>
          <w:szCs w:val="28"/>
          <w:lang w:val="kk-KZ"/>
        </w:rPr>
        <w:t>in</w:t>
      </w:r>
      <w:proofErr w:type="spellEnd"/>
      <w:r w:rsidRPr="009A7F81">
        <w:rPr>
          <w:color w:val="000000"/>
          <w:sz w:val="28"/>
          <w:szCs w:val="28"/>
          <w:lang w:val="kk-KZ"/>
        </w:rPr>
        <w:t xml:space="preserve"> </w:t>
      </w:r>
      <w:proofErr w:type="spellStart"/>
      <w:r w:rsidRPr="009A7F81">
        <w:rPr>
          <w:color w:val="000000"/>
          <w:sz w:val="28"/>
          <w:szCs w:val="28"/>
          <w:lang w:val="kk-KZ"/>
        </w:rPr>
        <w:t>Science</w:t>
      </w:r>
      <w:proofErr w:type="spellEnd"/>
      <w:r w:rsidRPr="009A7F81">
        <w:rPr>
          <w:color w:val="000000"/>
          <w:sz w:val="28"/>
          <w:szCs w:val="28"/>
          <w:lang w:val="kk-KZ"/>
        </w:rPr>
        <w:t xml:space="preserve"> </w:t>
      </w:r>
      <w:proofErr w:type="spellStart"/>
      <w:r w:rsidRPr="009A7F81">
        <w:rPr>
          <w:color w:val="000000"/>
          <w:sz w:val="28"/>
          <w:szCs w:val="28"/>
          <w:lang w:val="kk-KZ"/>
        </w:rPr>
        <w:t>and</w:t>
      </w:r>
      <w:proofErr w:type="spellEnd"/>
      <w:r w:rsidRPr="009A7F81">
        <w:rPr>
          <w:color w:val="000000"/>
          <w:sz w:val="28"/>
          <w:szCs w:val="28"/>
          <w:lang w:val="kk-KZ"/>
        </w:rPr>
        <w:t xml:space="preserve"> </w:t>
      </w:r>
      <w:proofErr w:type="spellStart"/>
      <w:r w:rsidRPr="009A7F81">
        <w:rPr>
          <w:color w:val="000000"/>
          <w:sz w:val="28"/>
          <w:szCs w:val="28"/>
          <w:lang w:val="kk-KZ"/>
        </w:rPr>
        <w:t>Higher</w:t>
      </w:r>
      <w:proofErr w:type="spellEnd"/>
      <w:r w:rsidRPr="009A7F81">
        <w:rPr>
          <w:color w:val="000000"/>
          <w:sz w:val="28"/>
          <w:szCs w:val="28"/>
          <w:lang w:val="kk-KZ"/>
        </w:rPr>
        <w:t xml:space="preserve"> </w:t>
      </w:r>
      <w:proofErr w:type="spellStart"/>
      <w:r w:rsidRPr="009A7F81">
        <w:rPr>
          <w:color w:val="000000"/>
          <w:sz w:val="28"/>
          <w:szCs w:val="28"/>
          <w:lang w:val="kk-KZ"/>
        </w:rPr>
        <w:t>Education</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the</w:t>
      </w:r>
      <w:proofErr w:type="spellEnd"/>
      <w:r w:rsidRPr="009A7F81">
        <w:rPr>
          <w:color w:val="000000"/>
          <w:sz w:val="28"/>
          <w:szCs w:val="28"/>
          <w:lang w:val="kk-KZ"/>
        </w:rPr>
        <w:t xml:space="preserve"> </w:t>
      </w:r>
      <w:proofErr w:type="spellStart"/>
      <w:r w:rsidRPr="009A7F81">
        <w:rPr>
          <w:color w:val="000000"/>
          <w:sz w:val="28"/>
          <w:szCs w:val="28"/>
          <w:lang w:val="kk-KZ"/>
        </w:rPr>
        <w:t>Ministry</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Science</w:t>
      </w:r>
      <w:proofErr w:type="spellEnd"/>
      <w:r w:rsidRPr="009A7F81">
        <w:rPr>
          <w:color w:val="000000"/>
          <w:sz w:val="28"/>
          <w:szCs w:val="28"/>
          <w:lang w:val="kk-KZ"/>
        </w:rPr>
        <w:t xml:space="preserve"> </w:t>
      </w:r>
      <w:proofErr w:type="spellStart"/>
      <w:r w:rsidRPr="009A7F81">
        <w:rPr>
          <w:color w:val="000000"/>
          <w:sz w:val="28"/>
          <w:szCs w:val="28"/>
          <w:lang w:val="kk-KZ"/>
        </w:rPr>
        <w:t>and</w:t>
      </w:r>
      <w:proofErr w:type="spellEnd"/>
      <w:r w:rsidRPr="009A7F81">
        <w:rPr>
          <w:color w:val="000000"/>
          <w:sz w:val="28"/>
          <w:szCs w:val="28"/>
          <w:lang w:val="kk-KZ"/>
        </w:rPr>
        <w:t xml:space="preserve"> </w:t>
      </w:r>
      <w:proofErr w:type="spellStart"/>
      <w:r w:rsidRPr="009A7F81">
        <w:rPr>
          <w:color w:val="000000"/>
          <w:sz w:val="28"/>
          <w:szCs w:val="28"/>
          <w:lang w:val="kk-KZ"/>
        </w:rPr>
        <w:t>Higher</w:t>
      </w:r>
      <w:proofErr w:type="spellEnd"/>
      <w:r w:rsidRPr="009A7F81">
        <w:rPr>
          <w:color w:val="000000"/>
          <w:sz w:val="28"/>
          <w:szCs w:val="28"/>
          <w:lang w:val="kk-KZ"/>
        </w:rPr>
        <w:t xml:space="preserve"> </w:t>
      </w:r>
      <w:proofErr w:type="spellStart"/>
      <w:r w:rsidRPr="009A7F81">
        <w:rPr>
          <w:color w:val="000000"/>
          <w:sz w:val="28"/>
          <w:szCs w:val="28"/>
          <w:lang w:val="kk-KZ"/>
        </w:rPr>
        <w:t>Education</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the</w:t>
      </w:r>
      <w:proofErr w:type="spellEnd"/>
      <w:r w:rsidRPr="009A7F81">
        <w:rPr>
          <w:color w:val="000000"/>
          <w:sz w:val="28"/>
          <w:szCs w:val="28"/>
          <w:lang w:val="kk-KZ"/>
        </w:rPr>
        <w:t xml:space="preserve"> </w:t>
      </w:r>
      <w:proofErr w:type="spellStart"/>
      <w:r w:rsidRPr="009A7F81">
        <w:rPr>
          <w:color w:val="000000"/>
          <w:sz w:val="28"/>
          <w:szCs w:val="28"/>
          <w:lang w:val="kk-KZ"/>
        </w:rPr>
        <w:t>Republic</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Kazakhstan</w:t>
      </w:r>
      <w:proofErr w:type="spellEnd"/>
      <w:r w:rsidRPr="009A7F81">
        <w:rPr>
          <w:color w:val="000000"/>
          <w:sz w:val="28"/>
          <w:szCs w:val="28"/>
          <w:lang w:val="kk-KZ"/>
        </w:rPr>
        <w:t>:</w:t>
      </w:r>
    </w:p>
    <w:p w14:paraId="36837958" w14:textId="77777777" w:rsidR="009A7F81" w:rsidRPr="009A7F81" w:rsidRDefault="009A7F81" w:rsidP="009A7F81">
      <w:pPr>
        <w:ind w:firstLine="709"/>
        <w:jc w:val="both"/>
        <w:rPr>
          <w:color w:val="000000"/>
          <w:sz w:val="28"/>
          <w:szCs w:val="28"/>
          <w:lang w:val="kk-KZ"/>
        </w:rPr>
      </w:pPr>
      <w:r w:rsidRPr="009A7F81">
        <w:rPr>
          <w:color w:val="000000"/>
          <w:sz w:val="28"/>
          <w:szCs w:val="28"/>
          <w:lang w:val="kk-KZ"/>
        </w:rPr>
        <w:t xml:space="preserve"> 1. </w:t>
      </w:r>
      <w:proofErr w:type="spellStart"/>
      <w:r w:rsidRPr="009A7F81">
        <w:rPr>
          <w:color w:val="000000"/>
          <w:sz w:val="28"/>
          <w:szCs w:val="28"/>
          <w:lang w:val="kk-KZ"/>
        </w:rPr>
        <w:t>Rudenko</w:t>
      </w:r>
      <w:proofErr w:type="spellEnd"/>
      <w:r w:rsidRPr="009A7F81">
        <w:rPr>
          <w:color w:val="000000"/>
          <w:sz w:val="28"/>
          <w:szCs w:val="28"/>
          <w:lang w:val="kk-KZ"/>
        </w:rPr>
        <w:t xml:space="preserve"> A., </w:t>
      </w:r>
      <w:proofErr w:type="spellStart"/>
      <w:r w:rsidRPr="009A7F81">
        <w:rPr>
          <w:color w:val="000000"/>
          <w:sz w:val="28"/>
          <w:szCs w:val="28"/>
          <w:lang w:val="kk-KZ"/>
        </w:rPr>
        <w:t>Tuleubaev</w:t>
      </w:r>
      <w:proofErr w:type="spellEnd"/>
      <w:r w:rsidRPr="009A7F81">
        <w:rPr>
          <w:color w:val="000000"/>
          <w:sz w:val="28"/>
          <w:szCs w:val="28"/>
          <w:lang w:val="kk-KZ"/>
        </w:rPr>
        <w:t xml:space="preserve"> B. </w:t>
      </w:r>
      <w:proofErr w:type="spellStart"/>
      <w:r w:rsidRPr="009A7F81">
        <w:rPr>
          <w:color w:val="000000"/>
          <w:sz w:val="28"/>
          <w:szCs w:val="28"/>
          <w:lang w:val="kk-KZ"/>
        </w:rPr>
        <w:t>Local</w:t>
      </w:r>
      <w:proofErr w:type="spellEnd"/>
      <w:r w:rsidRPr="009A7F81">
        <w:rPr>
          <w:color w:val="000000"/>
          <w:sz w:val="28"/>
          <w:szCs w:val="28"/>
          <w:lang w:val="kk-KZ"/>
        </w:rPr>
        <w:t xml:space="preserve"> </w:t>
      </w:r>
      <w:proofErr w:type="spellStart"/>
      <w:r w:rsidRPr="009A7F81">
        <w:rPr>
          <w:color w:val="000000"/>
          <w:sz w:val="28"/>
          <w:szCs w:val="28"/>
          <w:lang w:val="kk-KZ"/>
        </w:rPr>
        <w:t>transport</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antibiotics</w:t>
      </w:r>
      <w:proofErr w:type="spellEnd"/>
      <w:r w:rsidRPr="009A7F81">
        <w:rPr>
          <w:color w:val="000000"/>
          <w:sz w:val="28"/>
          <w:szCs w:val="28"/>
          <w:lang w:val="kk-KZ"/>
        </w:rPr>
        <w:t xml:space="preserve"> </w:t>
      </w:r>
      <w:proofErr w:type="spellStart"/>
      <w:r w:rsidRPr="009A7F81">
        <w:rPr>
          <w:color w:val="000000"/>
          <w:sz w:val="28"/>
          <w:szCs w:val="28"/>
          <w:lang w:val="kk-KZ"/>
        </w:rPr>
        <w:t>in</w:t>
      </w:r>
      <w:proofErr w:type="spellEnd"/>
      <w:r w:rsidRPr="009A7F81">
        <w:rPr>
          <w:color w:val="000000"/>
          <w:sz w:val="28"/>
          <w:szCs w:val="28"/>
          <w:lang w:val="kk-KZ"/>
        </w:rPr>
        <w:t xml:space="preserve"> </w:t>
      </w:r>
      <w:proofErr w:type="spellStart"/>
      <w:r w:rsidRPr="009A7F81">
        <w:rPr>
          <w:color w:val="000000"/>
          <w:sz w:val="28"/>
          <w:szCs w:val="28"/>
          <w:lang w:val="kk-KZ"/>
        </w:rPr>
        <w:t>the</w:t>
      </w:r>
      <w:proofErr w:type="spellEnd"/>
      <w:r w:rsidRPr="009A7F81">
        <w:rPr>
          <w:color w:val="000000"/>
          <w:sz w:val="28"/>
          <w:szCs w:val="28"/>
          <w:lang w:val="kk-KZ"/>
        </w:rPr>
        <w:t xml:space="preserve"> </w:t>
      </w:r>
      <w:proofErr w:type="spellStart"/>
      <w:r w:rsidRPr="009A7F81">
        <w:rPr>
          <w:color w:val="000000"/>
          <w:sz w:val="28"/>
          <w:szCs w:val="28"/>
          <w:lang w:val="kk-KZ"/>
        </w:rPr>
        <w:t>treatment</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lastRenderedPageBreak/>
        <w:t>tubular</w:t>
      </w:r>
      <w:proofErr w:type="spellEnd"/>
      <w:r w:rsidRPr="009A7F81">
        <w:rPr>
          <w:color w:val="000000"/>
          <w:sz w:val="28"/>
          <w:szCs w:val="28"/>
          <w:lang w:val="kk-KZ"/>
        </w:rPr>
        <w:t xml:space="preserve"> </w:t>
      </w:r>
      <w:proofErr w:type="spellStart"/>
      <w:r w:rsidRPr="009A7F81">
        <w:rPr>
          <w:color w:val="000000"/>
          <w:sz w:val="28"/>
          <w:szCs w:val="28"/>
          <w:lang w:val="kk-KZ"/>
        </w:rPr>
        <w:t>bones</w:t>
      </w:r>
      <w:proofErr w:type="spellEnd"/>
      <w:r w:rsidRPr="009A7F81">
        <w:rPr>
          <w:color w:val="000000"/>
          <w:sz w:val="28"/>
          <w:szCs w:val="28"/>
          <w:lang w:val="kk-KZ"/>
        </w:rPr>
        <w:t xml:space="preserve"> </w:t>
      </w:r>
      <w:proofErr w:type="spellStart"/>
      <w:r w:rsidRPr="009A7F81">
        <w:rPr>
          <w:color w:val="000000"/>
          <w:sz w:val="28"/>
          <w:szCs w:val="28"/>
          <w:lang w:val="kk-KZ"/>
        </w:rPr>
        <w:t>chronic</w:t>
      </w:r>
      <w:proofErr w:type="spellEnd"/>
      <w:r w:rsidRPr="009A7F81">
        <w:rPr>
          <w:color w:val="000000"/>
          <w:sz w:val="28"/>
          <w:szCs w:val="28"/>
          <w:lang w:val="kk-KZ"/>
        </w:rPr>
        <w:t xml:space="preserve"> </w:t>
      </w:r>
      <w:proofErr w:type="spellStart"/>
      <w:r w:rsidRPr="009A7F81">
        <w:rPr>
          <w:color w:val="000000"/>
          <w:sz w:val="28"/>
          <w:szCs w:val="28"/>
          <w:lang w:val="kk-KZ"/>
        </w:rPr>
        <w:t>osteomyelitis</w:t>
      </w:r>
      <w:proofErr w:type="spellEnd"/>
      <w:r w:rsidRPr="009A7F81">
        <w:rPr>
          <w:color w:val="000000"/>
          <w:sz w:val="28"/>
          <w:szCs w:val="28"/>
          <w:lang w:val="kk-KZ"/>
        </w:rPr>
        <w:t xml:space="preserve">: </w:t>
      </w:r>
      <w:proofErr w:type="spellStart"/>
      <w:r w:rsidRPr="009A7F81">
        <w:rPr>
          <w:color w:val="000000"/>
          <w:sz w:val="28"/>
          <w:szCs w:val="28"/>
          <w:lang w:val="kk-KZ"/>
        </w:rPr>
        <w:t>Literature</w:t>
      </w:r>
      <w:proofErr w:type="spellEnd"/>
      <w:r w:rsidRPr="009A7F81">
        <w:rPr>
          <w:color w:val="000000"/>
          <w:sz w:val="28"/>
          <w:szCs w:val="28"/>
          <w:lang w:val="kk-KZ"/>
        </w:rPr>
        <w:t xml:space="preserve"> </w:t>
      </w:r>
      <w:proofErr w:type="spellStart"/>
      <w:r w:rsidRPr="009A7F81">
        <w:rPr>
          <w:color w:val="000000"/>
          <w:sz w:val="28"/>
          <w:szCs w:val="28"/>
          <w:lang w:val="kk-KZ"/>
        </w:rPr>
        <w:t>review</w:t>
      </w:r>
      <w:proofErr w:type="spellEnd"/>
      <w:r w:rsidRPr="009A7F81">
        <w:rPr>
          <w:color w:val="000000"/>
          <w:sz w:val="28"/>
          <w:szCs w:val="28"/>
          <w:lang w:val="kk-KZ"/>
        </w:rPr>
        <w:t xml:space="preserve"> // J </w:t>
      </w:r>
      <w:proofErr w:type="spellStart"/>
      <w:r w:rsidRPr="009A7F81">
        <w:rPr>
          <w:color w:val="000000"/>
          <w:sz w:val="28"/>
          <w:szCs w:val="28"/>
          <w:lang w:val="kk-KZ"/>
        </w:rPr>
        <w:t>Clin</w:t>
      </w:r>
      <w:proofErr w:type="spellEnd"/>
      <w:r w:rsidRPr="009A7F81">
        <w:rPr>
          <w:color w:val="000000"/>
          <w:sz w:val="28"/>
          <w:szCs w:val="28"/>
          <w:lang w:val="kk-KZ"/>
        </w:rPr>
        <w:t xml:space="preserve"> </w:t>
      </w:r>
      <w:proofErr w:type="spellStart"/>
      <w:r w:rsidRPr="009A7F81">
        <w:rPr>
          <w:color w:val="000000"/>
          <w:sz w:val="28"/>
          <w:szCs w:val="28"/>
          <w:lang w:val="kk-KZ"/>
        </w:rPr>
        <w:t>Med</w:t>
      </w:r>
      <w:proofErr w:type="spellEnd"/>
      <w:r w:rsidRPr="009A7F81">
        <w:rPr>
          <w:color w:val="000000"/>
          <w:sz w:val="28"/>
          <w:szCs w:val="28"/>
          <w:lang w:val="kk-KZ"/>
        </w:rPr>
        <w:t xml:space="preserve"> </w:t>
      </w:r>
      <w:proofErr w:type="spellStart"/>
      <w:r w:rsidRPr="009A7F81">
        <w:rPr>
          <w:color w:val="000000"/>
          <w:sz w:val="28"/>
          <w:szCs w:val="28"/>
          <w:lang w:val="kk-KZ"/>
        </w:rPr>
        <w:t>Kaz</w:t>
      </w:r>
      <w:proofErr w:type="spellEnd"/>
      <w:r w:rsidRPr="009A7F81">
        <w:rPr>
          <w:color w:val="000000"/>
          <w:sz w:val="28"/>
          <w:szCs w:val="28"/>
          <w:lang w:val="kk-KZ"/>
        </w:rPr>
        <w:t xml:space="preserve">. - 2022. - </w:t>
      </w:r>
      <w:proofErr w:type="spellStart"/>
      <w:r w:rsidRPr="009A7F81">
        <w:rPr>
          <w:color w:val="000000"/>
          <w:sz w:val="28"/>
          <w:szCs w:val="28"/>
          <w:lang w:val="kk-KZ"/>
        </w:rPr>
        <w:t>Vol</w:t>
      </w:r>
      <w:proofErr w:type="spellEnd"/>
      <w:r w:rsidRPr="009A7F81">
        <w:rPr>
          <w:color w:val="000000"/>
          <w:sz w:val="28"/>
          <w:szCs w:val="28"/>
          <w:lang w:val="kk-KZ"/>
        </w:rPr>
        <w:t xml:space="preserve">. 19, </w:t>
      </w:r>
      <w:proofErr w:type="spellStart"/>
      <w:r w:rsidRPr="009A7F81">
        <w:rPr>
          <w:color w:val="000000"/>
          <w:sz w:val="28"/>
          <w:szCs w:val="28"/>
          <w:lang w:val="kk-KZ"/>
        </w:rPr>
        <w:t>No</w:t>
      </w:r>
      <w:proofErr w:type="spellEnd"/>
      <w:r w:rsidRPr="009A7F81">
        <w:rPr>
          <w:color w:val="000000"/>
          <w:sz w:val="28"/>
          <w:szCs w:val="28"/>
          <w:lang w:val="kk-KZ"/>
        </w:rPr>
        <w:t>. 2. - P. 14–20. - URL: https://doi.org/10.23950/jcmk/11995.</w:t>
      </w:r>
    </w:p>
    <w:p w14:paraId="6CD303AD" w14:textId="77777777" w:rsidR="009A7F81" w:rsidRPr="009A7F81" w:rsidRDefault="009A7F81" w:rsidP="009A7F81">
      <w:pPr>
        <w:ind w:firstLine="709"/>
        <w:jc w:val="both"/>
        <w:rPr>
          <w:color w:val="000000"/>
          <w:sz w:val="28"/>
          <w:szCs w:val="28"/>
          <w:lang w:val="kk-KZ"/>
        </w:rPr>
      </w:pPr>
      <w:r w:rsidRPr="009A7F81">
        <w:rPr>
          <w:color w:val="000000"/>
          <w:sz w:val="28"/>
          <w:szCs w:val="28"/>
          <w:lang w:val="kk-KZ"/>
        </w:rPr>
        <w:t xml:space="preserve"> 2. </w:t>
      </w:r>
      <w:proofErr w:type="spellStart"/>
      <w:r w:rsidRPr="009A7F81">
        <w:rPr>
          <w:color w:val="000000"/>
          <w:sz w:val="28"/>
          <w:szCs w:val="28"/>
          <w:lang w:val="kk-KZ"/>
        </w:rPr>
        <w:t>Rudenko</w:t>
      </w:r>
      <w:proofErr w:type="spellEnd"/>
      <w:r w:rsidRPr="009A7F81">
        <w:rPr>
          <w:color w:val="000000"/>
          <w:sz w:val="28"/>
          <w:szCs w:val="28"/>
          <w:lang w:val="kk-KZ"/>
        </w:rPr>
        <w:t xml:space="preserve"> A., </w:t>
      </w:r>
      <w:proofErr w:type="spellStart"/>
      <w:r w:rsidRPr="009A7F81">
        <w:rPr>
          <w:color w:val="000000"/>
          <w:sz w:val="28"/>
          <w:szCs w:val="28"/>
          <w:lang w:val="kk-KZ"/>
        </w:rPr>
        <w:t>Tuleubaev</w:t>
      </w:r>
      <w:proofErr w:type="spellEnd"/>
      <w:r w:rsidRPr="009A7F81">
        <w:rPr>
          <w:color w:val="000000"/>
          <w:sz w:val="28"/>
          <w:szCs w:val="28"/>
          <w:lang w:val="kk-KZ"/>
        </w:rPr>
        <w:t xml:space="preserve"> B., </w:t>
      </w:r>
      <w:proofErr w:type="spellStart"/>
      <w:r w:rsidRPr="009A7F81">
        <w:rPr>
          <w:color w:val="000000"/>
          <w:sz w:val="28"/>
          <w:szCs w:val="28"/>
          <w:lang w:val="kk-KZ"/>
        </w:rPr>
        <w:t>Heybeli</w:t>
      </w:r>
      <w:proofErr w:type="spellEnd"/>
      <w:r w:rsidRPr="009A7F81">
        <w:rPr>
          <w:color w:val="000000"/>
          <w:sz w:val="28"/>
          <w:szCs w:val="28"/>
          <w:lang w:val="kk-KZ"/>
        </w:rPr>
        <w:t xml:space="preserve"> N. </w:t>
      </w:r>
      <w:proofErr w:type="spellStart"/>
      <w:r w:rsidRPr="009A7F81">
        <w:rPr>
          <w:color w:val="000000"/>
          <w:sz w:val="28"/>
          <w:szCs w:val="28"/>
          <w:lang w:val="kk-KZ"/>
        </w:rPr>
        <w:t>Use</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a </w:t>
      </w:r>
      <w:proofErr w:type="spellStart"/>
      <w:r w:rsidRPr="009A7F81">
        <w:rPr>
          <w:color w:val="000000"/>
          <w:sz w:val="28"/>
          <w:szCs w:val="28"/>
          <w:lang w:val="kk-KZ"/>
        </w:rPr>
        <w:t>device</w:t>
      </w:r>
      <w:proofErr w:type="spellEnd"/>
      <w:r w:rsidRPr="009A7F81">
        <w:rPr>
          <w:color w:val="000000"/>
          <w:sz w:val="28"/>
          <w:szCs w:val="28"/>
          <w:lang w:val="kk-KZ"/>
        </w:rPr>
        <w:t xml:space="preserve"> </w:t>
      </w:r>
      <w:proofErr w:type="spellStart"/>
      <w:r w:rsidRPr="009A7F81">
        <w:rPr>
          <w:color w:val="000000"/>
          <w:sz w:val="28"/>
          <w:szCs w:val="28"/>
          <w:lang w:val="kk-KZ"/>
        </w:rPr>
        <w:t>for</w:t>
      </w:r>
      <w:proofErr w:type="spellEnd"/>
      <w:r w:rsidRPr="009A7F81">
        <w:rPr>
          <w:color w:val="000000"/>
          <w:sz w:val="28"/>
          <w:szCs w:val="28"/>
          <w:lang w:val="kk-KZ"/>
        </w:rPr>
        <w:t xml:space="preserve"> </w:t>
      </w:r>
      <w:proofErr w:type="spellStart"/>
      <w:r w:rsidRPr="009A7F81">
        <w:rPr>
          <w:color w:val="000000"/>
          <w:sz w:val="28"/>
          <w:szCs w:val="28"/>
          <w:lang w:val="kk-KZ"/>
        </w:rPr>
        <w:t>bone</w:t>
      </w:r>
      <w:proofErr w:type="spellEnd"/>
      <w:r w:rsidRPr="009A7F81">
        <w:rPr>
          <w:color w:val="000000"/>
          <w:sz w:val="28"/>
          <w:szCs w:val="28"/>
          <w:lang w:val="kk-KZ"/>
        </w:rPr>
        <w:t xml:space="preserve"> </w:t>
      </w:r>
      <w:proofErr w:type="spellStart"/>
      <w:r w:rsidRPr="009A7F81">
        <w:rPr>
          <w:color w:val="000000"/>
          <w:sz w:val="28"/>
          <w:szCs w:val="28"/>
          <w:lang w:val="kk-KZ"/>
        </w:rPr>
        <w:t>allograft</w:t>
      </w:r>
      <w:proofErr w:type="spellEnd"/>
      <w:r w:rsidRPr="009A7F81">
        <w:rPr>
          <w:color w:val="000000"/>
          <w:sz w:val="28"/>
          <w:szCs w:val="28"/>
          <w:lang w:val="kk-KZ"/>
        </w:rPr>
        <w:t xml:space="preserve"> </w:t>
      </w:r>
      <w:proofErr w:type="spellStart"/>
      <w:r w:rsidRPr="009A7F81">
        <w:rPr>
          <w:color w:val="000000"/>
          <w:sz w:val="28"/>
          <w:szCs w:val="28"/>
          <w:lang w:val="kk-KZ"/>
        </w:rPr>
        <w:t>channeling</w:t>
      </w:r>
      <w:proofErr w:type="spellEnd"/>
      <w:r w:rsidRPr="009A7F81">
        <w:rPr>
          <w:color w:val="000000"/>
          <w:sz w:val="28"/>
          <w:szCs w:val="28"/>
          <w:lang w:val="kk-KZ"/>
        </w:rPr>
        <w:t xml:space="preserve"> </w:t>
      </w:r>
      <w:proofErr w:type="spellStart"/>
      <w:r w:rsidRPr="009A7F81">
        <w:rPr>
          <w:color w:val="000000"/>
          <w:sz w:val="28"/>
          <w:szCs w:val="28"/>
          <w:lang w:val="kk-KZ"/>
        </w:rPr>
        <w:t>in</w:t>
      </w:r>
      <w:proofErr w:type="spellEnd"/>
      <w:r w:rsidRPr="009A7F81">
        <w:rPr>
          <w:color w:val="000000"/>
          <w:sz w:val="28"/>
          <w:szCs w:val="28"/>
          <w:lang w:val="kk-KZ"/>
        </w:rPr>
        <w:t xml:space="preserve"> </w:t>
      </w:r>
      <w:proofErr w:type="spellStart"/>
      <w:r w:rsidRPr="009A7F81">
        <w:rPr>
          <w:color w:val="000000"/>
          <w:sz w:val="28"/>
          <w:szCs w:val="28"/>
          <w:lang w:val="kk-KZ"/>
        </w:rPr>
        <w:t>an</w:t>
      </w:r>
      <w:proofErr w:type="spellEnd"/>
      <w:r w:rsidRPr="009A7F81">
        <w:rPr>
          <w:color w:val="000000"/>
          <w:sz w:val="28"/>
          <w:szCs w:val="28"/>
          <w:lang w:val="kk-KZ"/>
        </w:rPr>
        <w:t xml:space="preserve"> </w:t>
      </w:r>
      <w:proofErr w:type="spellStart"/>
      <w:r w:rsidRPr="009A7F81">
        <w:rPr>
          <w:color w:val="000000"/>
          <w:sz w:val="28"/>
          <w:szCs w:val="28"/>
          <w:lang w:val="kk-KZ"/>
        </w:rPr>
        <w:t>experiment</w:t>
      </w:r>
      <w:proofErr w:type="spellEnd"/>
      <w:r w:rsidRPr="009A7F81">
        <w:rPr>
          <w:color w:val="000000"/>
          <w:sz w:val="28"/>
          <w:szCs w:val="28"/>
          <w:lang w:val="kk-KZ"/>
        </w:rPr>
        <w:t xml:space="preserve"> </w:t>
      </w:r>
      <w:proofErr w:type="spellStart"/>
      <w:r w:rsidRPr="009A7F81">
        <w:rPr>
          <w:color w:val="000000"/>
          <w:sz w:val="28"/>
          <w:szCs w:val="28"/>
          <w:lang w:val="kk-KZ"/>
        </w:rPr>
        <w:t>with</w:t>
      </w:r>
      <w:proofErr w:type="spellEnd"/>
      <w:r w:rsidRPr="009A7F81">
        <w:rPr>
          <w:color w:val="000000"/>
          <w:sz w:val="28"/>
          <w:szCs w:val="28"/>
          <w:lang w:val="kk-KZ"/>
        </w:rPr>
        <w:t xml:space="preserve"> </w:t>
      </w:r>
      <w:proofErr w:type="spellStart"/>
      <w:r w:rsidRPr="009A7F81">
        <w:rPr>
          <w:color w:val="000000"/>
          <w:sz w:val="28"/>
          <w:szCs w:val="28"/>
          <w:lang w:val="kk-KZ"/>
        </w:rPr>
        <w:t>rabbits</w:t>
      </w:r>
      <w:proofErr w:type="spellEnd"/>
      <w:r w:rsidRPr="009A7F81">
        <w:rPr>
          <w:color w:val="000000"/>
          <w:sz w:val="28"/>
          <w:szCs w:val="28"/>
          <w:lang w:val="kk-KZ"/>
        </w:rPr>
        <w:t xml:space="preserve">: </w:t>
      </w:r>
      <w:proofErr w:type="spellStart"/>
      <w:r w:rsidRPr="009A7F81">
        <w:rPr>
          <w:color w:val="000000"/>
          <w:sz w:val="28"/>
          <w:szCs w:val="28"/>
          <w:lang w:val="kk-KZ"/>
        </w:rPr>
        <w:t>Narrative</w:t>
      </w:r>
      <w:proofErr w:type="spellEnd"/>
      <w:r w:rsidRPr="009A7F81">
        <w:rPr>
          <w:color w:val="000000"/>
          <w:sz w:val="28"/>
          <w:szCs w:val="28"/>
          <w:lang w:val="kk-KZ"/>
        </w:rPr>
        <w:t xml:space="preserve"> </w:t>
      </w:r>
      <w:proofErr w:type="spellStart"/>
      <w:r w:rsidRPr="009A7F81">
        <w:rPr>
          <w:color w:val="000000"/>
          <w:sz w:val="28"/>
          <w:szCs w:val="28"/>
          <w:lang w:val="kk-KZ"/>
        </w:rPr>
        <w:t>review</w:t>
      </w:r>
      <w:proofErr w:type="spellEnd"/>
      <w:r w:rsidRPr="009A7F81">
        <w:rPr>
          <w:color w:val="000000"/>
          <w:sz w:val="28"/>
          <w:szCs w:val="28"/>
          <w:lang w:val="kk-KZ"/>
        </w:rPr>
        <w:t xml:space="preserve"> // J </w:t>
      </w:r>
      <w:proofErr w:type="spellStart"/>
      <w:r w:rsidRPr="009A7F81">
        <w:rPr>
          <w:color w:val="000000"/>
          <w:sz w:val="28"/>
          <w:szCs w:val="28"/>
          <w:lang w:val="kk-KZ"/>
        </w:rPr>
        <w:t>Clin</w:t>
      </w:r>
      <w:proofErr w:type="spellEnd"/>
      <w:r w:rsidRPr="009A7F81">
        <w:rPr>
          <w:color w:val="000000"/>
          <w:sz w:val="28"/>
          <w:szCs w:val="28"/>
          <w:lang w:val="kk-KZ"/>
        </w:rPr>
        <w:t xml:space="preserve"> </w:t>
      </w:r>
      <w:proofErr w:type="spellStart"/>
      <w:r w:rsidRPr="009A7F81">
        <w:rPr>
          <w:color w:val="000000"/>
          <w:sz w:val="28"/>
          <w:szCs w:val="28"/>
          <w:lang w:val="kk-KZ"/>
        </w:rPr>
        <w:t>Med</w:t>
      </w:r>
      <w:proofErr w:type="spellEnd"/>
      <w:r w:rsidRPr="009A7F81">
        <w:rPr>
          <w:color w:val="000000"/>
          <w:sz w:val="28"/>
          <w:szCs w:val="28"/>
          <w:lang w:val="kk-KZ"/>
        </w:rPr>
        <w:t xml:space="preserve"> </w:t>
      </w:r>
      <w:proofErr w:type="spellStart"/>
      <w:r w:rsidRPr="009A7F81">
        <w:rPr>
          <w:color w:val="000000"/>
          <w:sz w:val="28"/>
          <w:szCs w:val="28"/>
          <w:lang w:val="kk-KZ"/>
        </w:rPr>
        <w:t>Kaz</w:t>
      </w:r>
      <w:proofErr w:type="spellEnd"/>
      <w:r w:rsidRPr="009A7F81">
        <w:rPr>
          <w:color w:val="000000"/>
          <w:sz w:val="28"/>
          <w:szCs w:val="28"/>
          <w:lang w:val="kk-KZ"/>
        </w:rPr>
        <w:t xml:space="preserve">. - 2022. - </w:t>
      </w:r>
      <w:proofErr w:type="spellStart"/>
      <w:r w:rsidRPr="009A7F81">
        <w:rPr>
          <w:color w:val="000000"/>
          <w:sz w:val="28"/>
          <w:szCs w:val="28"/>
          <w:lang w:val="kk-KZ"/>
        </w:rPr>
        <w:t>Vol</w:t>
      </w:r>
      <w:proofErr w:type="spellEnd"/>
      <w:r w:rsidRPr="009A7F81">
        <w:rPr>
          <w:color w:val="000000"/>
          <w:sz w:val="28"/>
          <w:szCs w:val="28"/>
          <w:lang w:val="kk-KZ"/>
        </w:rPr>
        <w:t xml:space="preserve">. 19, </w:t>
      </w:r>
      <w:proofErr w:type="spellStart"/>
      <w:r w:rsidRPr="009A7F81">
        <w:rPr>
          <w:color w:val="000000"/>
          <w:sz w:val="28"/>
          <w:szCs w:val="28"/>
          <w:lang w:val="kk-KZ"/>
        </w:rPr>
        <w:t>No</w:t>
      </w:r>
      <w:proofErr w:type="spellEnd"/>
      <w:r w:rsidRPr="009A7F81">
        <w:rPr>
          <w:color w:val="000000"/>
          <w:sz w:val="28"/>
          <w:szCs w:val="28"/>
          <w:lang w:val="kk-KZ"/>
        </w:rPr>
        <w:t>. 1. - P. 65–69. - URL: https://doi.org/10.23950/jcmk/11722.</w:t>
      </w:r>
    </w:p>
    <w:p w14:paraId="34EF535F" w14:textId="3898314E" w:rsidR="009A7F81" w:rsidRPr="009A7F81" w:rsidRDefault="009A7F81" w:rsidP="009A7F81">
      <w:pPr>
        <w:ind w:firstLine="709"/>
        <w:jc w:val="both"/>
        <w:rPr>
          <w:color w:val="000000"/>
          <w:sz w:val="28"/>
          <w:szCs w:val="28"/>
          <w:lang w:val="kk-KZ"/>
        </w:rPr>
      </w:pPr>
      <w:r w:rsidRPr="009A7F81">
        <w:rPr>
          <w:color w:val="000000"/>
          <w:sz w:val="28"/>
          <w:szCs w:val="28"/>
          <w:lang w:val="kk-KZ"/>
        </w:rPr>
        <w:t xml:space="preserve"> 3. </w:t>
      </w:r>
      <w:proofErr w:type="spellStart"/>
      <w:r w:rsidRPr="009A7F81">
        <w:rPr>
          <w:color w:val="000000"/>
          <w:sz w:val="28"/>
          <w:szCs w:val="28"/>
          <w:lang w:val="kk-KZ"/>
        </w:rPr>
        <w:t>Rudenko</w:t>
      </w:r>
      <w:proofErr w:type="spellEnd"/>
      <w:r w:rsidRPr="009A7F81">
        <w:rPr>
          <w:color w:val="000000"/>
          <w:sz w:val="28"/>
          <w:szCs w:val="28"/>
          <w:lang w:val="kk-KZ"/>
        </w:rPr>
        <w:t xml:space="preserve"> A., </w:t>
      </w:r>
      <w:proofErr w:type="spellStart"/>
      <w:r w:rsidRPr="009A7F81">
        <w:rPr>
          <w:color w:val="000000"/>
          <w:sz w:val="28"/>
          <w:szCs w:val="28"/>
          <w:lang w:val="kk-KZ"/>
        </w:rPr>
        <w:t>Tuleubayev</w:t>
      </w:r>
      <w:proofErr w:type="spellEnd"/>
      <w:r w:rsidRPr="009A7F81">
        <w:rPr>
          <w:color w:val="000000"/>
          <w:sz w:val="28"/>
          <w:szCs w:val="28"/>
          <w:lang w:val="kk-KZ"/>
        </w:rPr>
        <w:t xml:space="preserve"> B., </w:t>
      </w:r>
      <w:proofErr w:type="spellStart"/>
      <w:r w:rsidRPr="009A7F81">
        <w:rPr>
          <w:color w:val="000000"/>
          <w:sz w:val="28"/>
          <w:szCs w:val="28"/>
          <w:lang w:val="kk-KZ"/>
        </w:rPr>
        <w:t>Saginova</w:t>
      </w:r>
      <w:proofErr w:type="spellEnd"/>
      <w:r w:rsidRPr="009A7F81">
        <w:rPr>
          <w:color w:val="000000"/>
          <w:sz w:val="28"/>
          <w:szCs w:val="28"/>
          <w:lang w:val="kk-KZ"/>
        </w:rPr>
        <w:t xml:space="preserve"> D. </w:t>
      </w:r>
      <w:proofErr w:type="spellStart"/>
      <w:r w:rsidRPr="009A7F81">
        <w:rPr>
          <w:color w:val="000000"/>
          <w:sz w:val="28"/>
          <w:szCs w:val="28"/>
          <w:lang w:val="kk-KZ"/>
        </w:rPr>
        <w:t>et</w:t>
      </w:r>
      <w:proofErr w:type="spellEnd"/>
      <w:r w:rsidRPr="009A7F81">
        <w:rPr>
          <w:color w:val="000000"/>
          <w:sz w:val="28"/>
          <w:szCs w:val="28"/>
          <w:lang w:val="kk-KZ"/>
        </w:rPr>
        <w:t xml:space="preserve"> </w:t>
      </w:r>
      <w:proofErr w:type="spellStart"/>
      <w:r w:rsidRPr="009A7F81">
        <w:rPr>
          <w:color w:val="000000"/>
          <w:sz w:val="28"/>
          <w:szCs w:val="28"/>
          <w:lang w:val="kk-KZ"/>
        </w:rPr>
        <w:t>al</w:t>
      </w:r>
      <w:proofErr w:type="spellEnd"/>
      <w:r w:rsidRPr="009A7F81">
        <w:rPr>
          <w:color w:val="000000"/>
          <w:sz w:val="28"/>
          <w:szCs w:val="28"/>
          <w:lang w:val="kk-KZ"/>
        </w:rPr>
        <w:t xml:space="preserve">. </w:t>
      </w:r>
      <w:proofErr w:type="spellStart"/>
      <w:r w:rsidRPr="009A7F81">
        <w:rPr>
          <w:color w:val="000000"/>
          <w:sz w:val="28"/>
          <w:szCs w:val="28"/>
          <w:lang w:val="kk-KZ"/>
        </w:rPr>
        <w:t>Analysis</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various</w:t>
      </w:r>
      <w:proofErr w:type="spellEnd"/>
      <w:r w:rsidRPr="009A7F81">
        <w:rPr>
          <w:color w:val="000000"/>
          <w:sz w:val="28"/>
          <w:szCs w:val="28"/>
          <w:lang w:val="kk-KZ"/>
        </w:rPr>
        <w:t xml:space="preserve"> </w:t>
      </w:r>
      <w:proofErr w:type="spellStart"/>
      <w:r w:rsidRPr="009A7F81">
        <w:rPr>
          <w:color w:val="000000"/>
          <w:sz w:val="28"/>
          <w:szCs w:val="28"/>
          <w:lang w:val="kk-KZ"/>
        </w:rPr>
        <w:t>models</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chronic</w:t>
      </w:r>
      <w:proofErr w:type="spellEnd"/>
      <w:r w:rsidRPr="009A7F81">
        <w:rPr>
          <w:color w:val="000000"/>
          <w:sz w:val="28"/>
          <w:szCs w:val="28"/>
          <w:lang w:val="kk-KZ"/>
        </w:rPr>
        <w:t xml:space="preserve"> </w:t>
      </w:r>
      <w:proofErr w:type="spellStart"/>
      <w:r w:rsidRPr="009A7F81">
        <w:rPr>
          <w:color w:val="000000"/>
          <w:sz w:val="28"/>
          <w:szCs w:val="28"/>
          <w:lang w:val="kk-KZ"/>
        </w:rPr>
        <w:t>osteomyelitis</w:t>
      </w:r>
      <w:proofErr w:type="spellEnd"/>
      <w:r w:rsidRPr="009A7F81">
        <w:rPr>
          <w:color w:val="000000"/>
          <w:sz w:val="28"/>
          <w:szCs w:val="28"/>
          <w:lang w:val="kk-KZ"/>
        </w:rPr>
        <w:t xml:space="preserve"> </w:t>
      </w:r>
      <w:proofErr w:type="spellStart"/>
      <w:r w:rsidRPr="009A7F81">
        <w:rPr>
          <w:color w:val="000000"/>
          <w:sz w:val="28"/>
          <w:szCs w:val="28"/>
          <w:lang w:val="kk-KZ"/>
        </w:rPr>
        <w:t>in</w:t>
      </w:r>
      <w:proofErr w:type="spellEnd"/>
      <w:r w:rsidRPr="009A7F81">
        <w:rPr>
          <w:color w:val="000000"/>
          <w:sz w:val="28"/>
          <w:szCs w:val="28"/>
          <w:lang w:val="kk-KZ"/>
        </w:rPr>
        <w:t xml:space="preserve"> </w:t>
      </w:r>
      <w:proofErr w:type="spellStart"/>
      <w:r w:rsidRPr="009A7F81">
        <w:rPr>
          <w:color w:val="000000"/>
          <w:sz w:val="28"/>
          <w:szCs w:val="28"/>
          <w:lang w:val="kk-KZ"/>
        </w:rPr>
        <w:t>experimental</w:t>
      </w:r>
      <w:proofErr w:type="spellEnd"/>
      <w:r w:rsidRPr="009A7F81">
        <w:rPr>
          <w:color w:val="000000"/>
          <w:sz w:val="28"/>
          <w:szCs w:val="28"/>
          <w:lang w:val="kk-KZ"/>
        </w:rPr>
        <w:t xml:space="preserve"> </w:t>
      </w:r>
      <w:proofErr w:type="spellStart"/>
      <w:r w:rsidRPr="009A7F81">
        <w:rPr>
          <w:color w:val="000000"/>
          <w:sz w:val="28"/>
          <w:szCs w:val="28"/>
          <w:lang w:val="kk-KZ"/>
        </w:rPr>
        <w:t>animals</w:t>
      </w:r>
      <w:proofErr w:type="spellEnd"/>
      <w:r w:rsidRPr="009A7F81">
        <w:rPr>
          <w:color w:val="000000"/>
          <w:sz w:val="28"/>
          <w:szCs w:val="28"/>
          <w:lang w:val="kk-KZ"/>
        </w:rPr>
        <w:t xml:space="preserve"> // J </w:t>
      </w:r>
      <w:proofErr w:type="spellStart"/>
      <w:r w:rsidRPr="009A7F81">
        <w:rPr>
          <w:color w:val="000000"/>
          <w:sz w:val="28"/>
          <w:szCs w:val="28"/>
          <w:lang w:val="kk-KZ"/>
        </w:rPr>
        <w:t>Clin</w:t>
      </w:r>
      <w:proofErr w:type="spellEnd"/>
      <w:r w:rsidRPr="009A7F81">
        <w:rPr>
          <w:color w:val="000000"/>
          <w:sz w:val="28"/>
          <w:szCs w:val="28"/>
          <w:lang w:val="kk-KZ"/>
        </w:rPr>
        <w:t xml:space="preserve"> </w:t>
      </w:r>
      <w:proofErr w:type="spellStart"/>
      <w:r w:rsidRPr="009A7F81">
        <w:rPr>
          <w:color w:val="000000"/>
          <w:sz w:val="28"/>
          <w:szCs w:val="28"/>
          <w:lang w:val="kk-KZ"/>
        </w:rPr>
        <w:t>Med</w:t>
      </w:r>
      <w:proofErr w:type="spellEnd"/>
      <w:r w:rsidRPr="009A7F81">
        <w:rPr>
          <w:color w:val="000000"/>
          <w:sz w:val="28"/>
          <w:szCs w:val="28"/>
          <w:lang w:val="kk-KZ"/>
        </w:rPr>
        <w:t xml:space="preserve"> </w:t>
      </w:r>
      <w:proofErr w:type="spellStart"/>
      <w:r w:rsidRPr="009A7F81">
        <w:rPr>
          <w:color w:val="000000"/>
          <w:sz w:val="28"/>
          <w:szCs w:val="28"/>
          <w:lang w:val="kk-KZ"/>
        </w:rPr>
        <w:t>Kaz</w:t>
      </w:r>
      <w:proofErr w:type="spellEnd"/>
      <w:r w:rsidRPr="009A7F81">
        <w:rPr>
          <w:color w:val="000000"/>
          <w:sz w:val="28"/>
          <w:szCs w:val="28"/>
          <w:lang w:val="kk-KZ"/>
        </w:rPr>
        <w:t xml:space="preserve">. - 2022. - </w:t>
      </w:r>
      <w:proofErr w:type="spellStart"/>
      <w:r w:rsidRPr="009A7F81">
        <w:rPr>
          <w:color w:val="000000"/>
          <w:sz w:val="28"/>
          <w:szCs w:val="28"/>
          <w:lang w:val="kk-KZ"/>
        </w:rPr>
        <w:t>Vol</w:t>
      </w:r>
      <w:proofErr w:type="spellEnd"/>
      <w:r w:rsidRPr="009A7F81">
        <w:rPr>
          <w:color w:val="000000"/>
          <w:sz w:val="28"/>
          <w:szCs w:val="28"/>
          <w:lang w:val="kk-KZ"/>
        </w:rPr>
        <w:t xml:space="preserve">. 19, </w:t>
      </w:r>
      <w:proofErr w:type="spellStart"/>
      <w:r w:rsidRPr="009A7F81">
        <w:rPr>
          <w:color w:val="000000"/>
          <w:sz w:val="28"/>
          <w:szCs w:val="28"/>
          <w:lang w:val="kk-KZ"/>
        </w:rPr>
        <w:t>No</w:t>
      </w:r>
      <w:proofErr w:type="spellEnd"/>
      <w:r w:rsidRPr="009A7F81">
        <w:rPr>
          <w:color w:val="000000"/>
          <w:sz w:val="28"/>
          <w:szCs w:val="28"/>
          <w:lang w:val="kk-KZ"/>
        </w:rPr>
        <w:t>. 4. - P. 21–27.</w:t>
      </w:r>
    </w:p>
    <w:p w14:paraId="5C5E2AC4" w14:textId="77777777" w:rsidR="009A7F81" w:rsidRPr="009A7F81" w:rsidRDefault="009A7F81" w:rsidP="009A7F81">
      <w:pPr>
        <w:ind w:firstLine="709"/>
        <w:jc w:val="both"/>
        <w:rPr>
          <w:color w:val="000000"/>
          <w:sz w:val="28"/>
          <w:szCs w:val="28"/>
          <w:lang w:val="kk-KZ"/>
        </w:rPr>
      </w:pPr>
      <w:proofErr w:type="spellStart"/>
      <w:r w:rsidRPr="009A7F81">
        <w:rPr>
          <w:color w:val="000000"/>
          <w:sz w:val="28"/>
          <w:szCs w:val="28"/>
          <w:lang w:val="kk-KZ"/>
        </w:rPr>
        <w:t>One</w:t>
      </w:r>
      <w:proofErr w:type="spellEnd"/>
      <w:r w:rsidRPr="009A7F81">
        <w:rPr>
          <w:color w:val="000000"/>
          <w:sz w:val="28"/>
          <w:szCs w:val="28"/>
          <w:lang w:val="kk-KZ"/>
        </w:rPr>
        <w:t xml:space="preserve"> </w:t>
      </w:r>
      <w:proofErr w:type="spellStart"/>
      <w:r w:rsidRPr="009A7F81">
        <w:rPr>
          <w:color w:val="000000"/>
          <w:sz w:val="28"/>
          <w:szCs w:val="28"/>
          <w:lang w:val="kk-KZ"/>
        </w:rPr>
        <w:t>publication</w:t>
      </w:r>
      <w:proofErr w:type="spellEnd"/>
      <w:r w:rsidRPr="009A7F81">
        <w:rPr>
          <w:color w:val="000000"/>
          <w:sz w:val="28"/>
          <w:szCs w:val="28"/>
          <w:lang w:val="kk-KZ"/>
        </w:rPr>
        <w:t xml:space="preserve"> </w:t>
      </w:r>
      <w:proofErr w:type="spellStart"/>
      <w:r w:rsidRPr="009A7F81">
        <w:rPr>
          <w:color w:val="000000"/>
          <w:sz w:val="28"/>
          <w:szCs w:val="28"/>
          <w:lang w:val="kk-KZ"/>
        </w:rPr>
        <w:t>in</w:t>
      </w:r>
      <w:proofErr w:type="spellEnd"/>
      <w:r w:rsidRPr="009A7F81">
        <w:rPr>
          <w:color w:val="000000"/>
          <w:sz w:val="28"/>
          <w:szCs w:val="28"/>
          <w:lang w:val="kk-KZ"/>
        </w:rPr>
        <w:t xml:space="preserve"> </w:t>
      </w:r>
      <w:proofErr w:type="spellStart"/>
      <w:r w:rsidRPr="009A7F81">
        <w:rPr>
          <w:color w:val="000000"/>
          <w:sz w:val="28"/>
          <w:szCs w:val="28"/>
          <w:lang w:val="kk-KZ"/>
        </w:rPr>
        <w:t>an</w:t>
      </w:r>
      <w:proofErr w:type="spellEnd"/>
      <w:r w:rsidRPr="009A7F81">
        <w:rPr>
          <w:color w:val="000000"/>
          <w:sz w:val="28"/>
          <w:szCs w:val="28"/>
          <w:lang w:val="kk-KZ"/>
        </w:rPr>
        <w:t xml:space="preserve"> </w:t>
      </w:r>
      <w:proofErr w:type="spellStart"/>
      <w:r w:rsidRPr="009A7F81">
        <w:rPr>
          <w:color w:val="000000"/>
          <w:sz w:val="28"/>
          <w:szCs w:val="28"/>
          <w:lang w:val="kk-KZ"/>
        </w:rPr>
        <w:t>international</w:t>
      </w:r>
      <w:proofErr w:type="spellEnd"/>
      <w:r w:rsidRPr="009A7F81">
        <w:rPr>
          <w:color w:val="000000"/>
          <w:sz w:val="28"/>
          <w:szCs w:val="28"/>
          <w:lang w:val="kk-KZ"/>
        </w:rPr>
        <w:t xml:space="preserve"> </w:t>
      </w:r>
      <w:proofErr w:type="spellStart"/>
      <w:r w:rsidRPr="009A7F81">
        <w:rPr>
          <w:color w:val="000000"/>
          <w:sz w:val="28"/>
          <w:szCs w:val="28"/>
          <w:lang w:val="kk-KZ"/>
        </w:rPr>
        <w:t>scientific</w:t>
      </w:r>
      <w:proofErr w:type="spellEnd"/>
      <w:r w:rsidRPr="009A7F81">
        <w:rPr>
          <w:color w:val="000000"/>
          <w:sz w:val="28"/>
          <w:szCs w:val="28"/>
          <w:lang w:val="kk-KZ"/>
        </w:rPr>
        <w:t xml:space="preserve"> </w:t>
      </w:r>
      <w:proofErr w:type="spellStart"/>
      <w:r w:rsidRPr="009A7F81">
        <w:rPr>
          <w:color w:val="000000"/>
          <w:sz w:val="28"/>
          <w:szCs w:val="28"/>
          <w:lang w:val="kk-KZ"/>
        </w:rPr>
        <w:t>journal</w:t>
      </w:r>
      <w:proofErr w:type="spellEnd"/>
      <w:r w:rsidRPr="009A7F81">
        <w:rPr>
          <w:color w:val="000000"/>
          <w:sz w:val="28"/>
          <w:szCs w:val="28"/>
          <w:lang w:val="kk-KZ"/>
        </w:rPr>
        <w:t xml:space="preserve"> </w:t>
      </w:r>
      <w:proofErr w:type="spellStart"/>
      <w:r w:rsidRPr="009A7F81">
        <w:rPr>
          <w:color w:val="000000"/>
          <w:sz w:val="28"/>
          <w:szCs w:val="28"/>
          <w:lang w:val="kk-KZ"/>
        </w:rPr>
        <w:t>indexed</w:t>
      </w:r>
      <w:proofErr w:type="spellEnd"/>
      <w:r w:rsidRPr="009A7F81">
        <w:rPr>
          <w:color w:val="000000"/>
          <w:sz w:val="28"/>
          <w:szCs w:val="28"/>
          <w:lang w:val="kk-KZ"/>
        </w:rPr>
        <w:t xml:space="preserve"> </w:t>
      </w:r>
      <w:proofErr w:type="spellStart"/>
      <w:r w:rsidRPr="009A7F81">
        <w:rPr>
          <w:color w:val="000000"/>
          <w:sz w:val="28"/>
          <w:szCs w:val="28"/>
          <w:lang w:val="kk-KZ"/>
        </w:rPr>
        <w:t>in</w:t>
      </w:r>
      <w:proofErr w:type="spellEnd"/>
      <w:r w:rsidRPr="009A7F81">
        <w:rPr>
          <w:color w:val="000000"/>
          <w:sz w:val="28"/>
          <w:szCs w:val="28"/>
          <w:lang w:val="kk-KZ"/>
        </w:rPr>
        <w:t xml:space="preserve"> </w:t>
      </w:r>
      <w:proofErr w:type="spellStart"/>
      <w:r w:rsidRPr="009A7F81">
        <w:rPr>
          <w:color w:val="000000"/>
          <w:sz w:val="28"/>
          <w:szCs w:val="28"/>
          <w:lang w:val="kk-KZ"/>
        </w:rPr>
        <w:t>the</w:t>
      </w:r>
      <w:proofErr w:type="spellEnd"/>
      <w:r w:rsidRPr="009A7F81">
        <w:rPr>
          <w:color w:val="000000"/>
          <w:sz w:val="28"/>
          <w:szCs w:val="28"/>
          <w:lang w:val="kk-KZ"/>
        </w:rPr>
        <w:t xml:space="preserve"> </w:t>
      </w:r>
      <w:proofErr w:type="spellStart"/>
      <w:r w:rsidRPr="009A7F81">
        <w:rPr>
          <w:color w:val="000000"/>
          <w:sz w:val="28"/>
          <w:szCs w:val="28"/>
          <w:lang w:val="kk-KZ"/>
        </w:rPr>
        <w:t>Scopus</w:t>
      </w:r>
      <w:proofErr w:type="spellEnd"/>
      <w:r w:rsidRPr="009A7F81">
        <w:rPr>
          <w:color w:val="000000"/>
          <w:sz w:val="28"/>
          <w:szCs w:val="28"/>
          <w:lang w:val="kk-KZ"/>
        </w:rPr>
        <w:t xml:space="preserve"> </w:t>
      </w:r>
      <w:proofErr w:type="spellStart"/>
      <w:r w:rsidRPr="009A7F81">
        <w:rPr>
          <w:color w:val="000000"/>
          <w:sz w:val="28"/>
          <w:szCs w:val="28"/>
          <w:lang w:val="kk-KZ"/>
        </w:rPr>
        <w:t>database</w:t>
      </w:r>
      <w:proofErr w:type="spellEnd"/>
      <w:r w:rsidRPr="009A7F81">
        <w:rPr>
          <w:color w:val="000000"/>
          <w:sz w:val="28"/>
          <w:szCs w:val="28"/>
          <w:lang w:val="kk-KZ"/>
        </w:rPr>
        <w:t>:</w:t>
      </w:r>
    </w:p>
    <w:p w14:paraId="5062F7AA" w14:textId="5446BB9C" w:rsidR="009A7F81" w:rsidRPr="009A7F81" w:rsidRDefault="009A7F81" w:rsidP="009A7F81">
      <w:pPr>
        <w:ind w:firstLine="709"/>
        <w:jc w:val="both"/>
        <w:rPr>
          <w:color w:val="000000"/>
          <w:sz w:val="28"/>
          <w:szCs w:val="28"/>
          <w:lang w:val="kk-KZ"/>
        </w:rPr>
      </w:pPr>
      <w:r w:rsidRPr="009A7F81">
        <w:rPr>
          <w:color w:val="000000"/>
          <w:sz w:val="28"/>
          <w:szCs w:val="28"/>
          <w:lang w:val="kk-KZ"/>
        </w:rPr>
        <w:t xml:space="preserve"> 1. </w:t>
      </w:r>
      <w:proofErr w:type="spellStart"/>
      <w:r w:rsidRPr="009A7F81">
        <w:rPr>
          <w:color w:val="000000"/>
          <w:sz w:val="28"/>
          <w:szCs w:val="28"/>
          <w:lang w:val="kk-KZ"/>
        </w:rPr>
        <w:t>Tuleubayev</w:t>
      </w:r>
      <w:proofErr w:type="spellEnd"/>
      <w:r w:rsidRPr="009A7F81">
        <w:rPr>
          <w:color w:val="000000"/>
          <w:sz w:val="28"/>
          <w:szCs w:val="28"/>
          <w:lang w:val="kk-KZ"/>
        </w:rPr>
        <w:t xml:space="preserve"> B., </w:t>
      </w:r>
      <w:proofErr w:type="spellStart"/>
      <w:r w:rsidRPr="009A7F81">
        <w:rPr>
          <w:color w:val="000000"/>
          <w:sz w:val="28"/>
          <w:szCs w:val="28"/>
          <w:lang w:val="kk-KZ"/>
        </w:rPr>
        <w:t>Rudenko</w:t>
      </w:r>
      <w:proofErr w:type="spellEnd"/>
      <w:r w:rsidRPr="009A7F81">
        <w:rPr>
          <w:color w:val="000000"/>
          <w:sz w:val="28"/>
          <w:szCs w:val="28"/>
          <w:lang w:val="kk-KZ"/>
        </w:rPr>
        <w:t xml:space="preserve"> A. </w:t>
      </w:r>
      <w:proofErr w:type="spellStart"/>
      <w:r w:rsidRPr="009A7F81">
        <w:rPr>
          <w:color w:val="000000"/>
          <w:sz w:val="28"/>
          <w:szCs w:val="28"/>
          <w:lang w:val="kk-KZ"/>
        </w:rPr>
        <w:t>Investigation</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Antibiotic</w:t>
      </w:r>
      <w:proofErr w:type="spellEnd"/>
      <w:r w:rsidRPr="009A7F81">
        <w:rPr>
          <w:color w:val="000000"/>
          <w:sz w:val="28"/>
          <w:szCs w:val="28"/>
          <w:lang w:val="kk-KZ"/>
        </w:rPr>
        <w:t xml:space="preserve"> </w:t>
      </w:r>
      <w:proofErr w:type="spellStart"/>
      <w:r w:rsidRPr="009A7F81">
        <w:rPr>
          <w:color w:val="000000"/>
          <w:sz w:val="28"/>
          <w:szCs w:val="28"/>
          <w:lang w:val="kk-KZ"/>
        </w:rPr>
        <w:t>Release</w:t>
      </w:r>
      <w:proofErr w:type="spellEnd"/>
      <w:r w:rsidRPr="009A7F81">
        <w:rPr>
          <w:color w:val="000000"/>
          <w:sz w:val="28"/>
          <w:szCs w:val="28"/>
          <w:lang w:val="kk-KZ"/>
        </w:rPr>
        <w:t xml:space="preserve"> </w:t>
      </w:r>
      <w:proofErr w:type="spellStart"/>
      <w:r w:rsidRPr="009A7F81">
        <w:rPr>
          <w:color w:val="000000"/>
          <w:sz w:val="28"/>
          <w:szCs w:val="28"/>
          <w:lang w:val="kk-KZ"/>
        </w:rPr>
        <w:t>from</w:t>
      </w:r>
      <w:proofErr w:type="spellEnd"/>
      <w:r w:rsidRPr="009A7F81">
        <w:rPr>
          <w:color w:val="000000"/>
          <w:sz w:val="28"/>
          <w:szCs w:val="28"/>
          <w:lang w:val="kk-KZ"/>
        </w:rPr>
        <w:t xml:space="preserve"> </w:t>
      </w:r>
      <w:proofErr w:type="spellStart"/>
      <w:r w:rsidRPr="009A7F81">
        <w:rPr>
          <w:color w:val="000000"/>
          <w:sz w:val="28"/>
          <w:szCs w:val="28"/>
          <w:lang w:val="kk-KZ"/>
        </w:rPr>
        <w:t>Bone</w:t>
      </w:r>
      <w:proofErr w:type="spellEnd"/>
      <w:r w:rsidRPr="009A7F81">
        <w:rPr>
          <w:color w:val="000000"/>
          <w:sz w:val="28"/>
          <w:szCs w:val="28"/>
          <w:lang w:val="kk-KZ"/>
        </w:rPr>
        <w:t xml:space="preserve"> </w:t>
      </w:r>
      <w:proofErr w:type="spellStart"/>
      <w:r w:rsidRPr="009A7F81">
        <w:rPr>
          <w:color w:val="000000"/>
          <w:sz w:val="28"/>
          <w:szCs w:val="28"/>
          <w:lang w:val="kk-KZ"/>
        </w:rPr>
        <w:t>Allograft</w:t>
      </w:r>
      <w:proofErr w:type="spellEnd"/>
      <w:r w:rsidRPr="009A7F81">
        <w:rPr>
          <w:color w:val="000000"/>
          <w:sz w:val="28"/>
          <w:szCs w:val="28"/>
          <w:lang w:val="kk-KZ"/>
        </w:rPr>
        <w:t xml:space="preserve"> </w:t>
      </w:r>
      <w:proofErr w:type="spellStart"/>
      <w:r w:rsidRPr="009A7F81">
        <w:rPr>
          <w:color w:val="000000"/>
          <w:sz w:val="28"/>
          <w:szCs w:val="28"/>
          <w:lang w:val="kk-KZ"/>
        </w:rPr>
        <w:t>in</w:t>
      </w:r>
      <w:proofErr w:type="spellEnd"/>
      <w:r w:rsidRPr="009A7F81">
        <w:rPr>
          <w:color w:val="000000"/>
          <w:sz w:val="28"/>
          <w:szCs w:val="28"/>
          <w:lang w:val="kk-KZ"/>
        </w:rPr>
        <w:t xml:space="preserve"> </w:t>
      </w:r>
      <w:proofErr w:type="spellStart"/>
      <w:r w:rsidRPr="009A7F81">
        <w:rPr>
          <w:color w:val="000000"/>
          <w:sz w:val="28"/>
          <w:szCs w:val="28"/>
          <w:lang w:val="kk-KZ"/>
        </w:rPr>
        <w:t>an</w:t>
      </w:r>
      <w:proofErr w:type="spellEnd"/>
      <w:r w:rsidRPr="009A7F81">
        <w:rPr>
          <w:color w:val="000000"/>
          <w:sz w:val="28"/>
          <w:szCs w:val="28"/>
          <w:lang w:val="kk-KZ"/>
        </w:rPr>
        <w:t xml:space="preserve"> </w:t>
      </w:r>
      <w:proofErr w:type="spellStart"/>
      <w:r w:rsidRPr="009A7F81">
        <w:rPr>
          <w:color w:val="000000"/>
          <w:sz w:val="28"/>
          <w:szCs w:val="28"/>
          <w:lang w:val="kk-KZ"/>
        </w:rPr>
        <w:t>Experiment</w:t>
      </w:r>
      <w:proofErr w:type="spellEnd"/>
      <w:r w:rsidRPr="009A7F81">
        <w:rPr>
          <w:color w:val="000000"/>
          <w:sz w:val="28"/>
          <w:szCs w:val="28"/>
          <w:lang w:val="kk-KZ"/>
        </w:rPr>
        <w:t xml:space="preserve"> </w:t>
      </w:r>
      <w:proofErr w:type="spellStart"/>
      <w:r w:rsidRPr="009A7F81">
        <w:rPr>
          <w:color w:val="000000"/>
          <w:sz w:val="28"/>
          <w:szCs w:val="28"/>
          <w:lang w:val="kk-KZ"/>
        </w:rPr>
        <w:t>on</w:t>
      </w:r>
      <w:proofErr w:type="spellEnd"/>
      <w:r w:rsidRPr="009A7F81">
        <w:rPr>
          <w:color w:val="000000"/>
          <w:sz w:val="28"/>
          <w:szCs w:val="28"/>
          <w:lang w:val="kk-KZ"/>
        </w:rPr>
        <w:t xml:space="preserve"> </w:t>
      </w:r>
      <w:proofErr w:type="spellStart"/>
      <w:r w:rsidRPr="009A7F81">
        <w:rPr>
          <w:color w:val="000000"/>
          <w:sz w:val="28"/>
          <w:szCs w:val="28"/>
          <w:lang w:val="kk-KZ"/>
        </w:rPr>
        <w:t>Rabbits</w:t>
      </w:r>
      <w:proofErr w:type="spellEnd"/>
      <w:r w:rsidRPr="009A7F81">
        <w:rPr>
          <w:color w:val="000000"/>
          <w:sz w:val="28"/>
          <w:szCs w:val="28"/>
          <w:lang w:val="kk-KZ"/>
        </w:rPr>
        <w:t xml:space="preserve"> // </w:t>
      </w:r>
      <w:proofErr w:type="spellStart"/>
      <w:r w:rsidRPr="009A7F81">
        <w:rPr>
          <w:color w:val="000000"/>
          <w:sz w:val="28"/>
          <w:szCs w:val="28"/>
          <w:lang w:val="kk-KZ"/>
        </w:rPr>
        <w:t>Open</w:t>
      </w:r>
      <w:proofErr w:type="spellEnd"/>
      <w:r w:rsidRPr="009A7F81">
        <w:rPr>
          <w:color w:val="000000"/>
          <w:sz w:val="28"/>
          <w:szCs w:val="28"/>
          <w:lang w:val="kk-KZ"/>
        </w:rPr>
        <w:t xml:space="preserve"> Access </w:t>
      </w:r>
      <w:proofErr w:type="spellStart"/>
      <w:r w:rsidRPr="009A7F81">
        <w:rPr>
          <w:color w:val="000000"/>
          <w:sz w:val="28"/>
          <w:szCs w:val="28"/>
          <w:lang w:val="kk-KZ"/>
        </w:rPr>
        <w:t>Maced</w:t>
      </w:r>
      <w:proofErr w:type="spellEnd"/>
      <w:r w:rsidRPr="009A7F81">
        <w:rPr>
          <w:color w:val="000000"/>
          <w:sz w:val="28"/>
          <w:szCs w:val="28"/>
          <w:lang w:val="kk-KZ"/>
        </w:rPr>
        <w:t xml:space="preserve"> J </w:t>
      </w:r>
      <w:proofErr w:type="spellStart"/>
      <w:r w:rsidRPr="009A7F81">
        <w:rPr>
          <w:color w:val="000000"/>
          <w:sz w:val="28"/>
          <w:szCs w:val="28"/>
          <w:lang w:val="kk-KZ"/>
        </w:rPr>
        <w:t>Med</w:t>
      </w:r>
      <w:proofErr w:type="spellEnd"/>
      <w:r w:rsidRPr="009A7F81">
        <w:rPr>
          <w:color w:val="000000"/>
          <w:sz w:val="28"/>
          <w:szCs w:val="28"/>
          <w:lang w:val="kk-KZ"/>
        </w:rPr>
        <w:t xml:space="preserve"> </w:t>
      </w:r>
      <w:proofErr w:type="spellStart"/>
      <w:r w:rsidRPr="009A7F81">
        <w:rPr>
          <w:color w:val="000000"/>
          <w:sz w:val="28"/>
          <w:szCs w:val="28"/>
          <w:lang w:val="kk-KZ"/>
        </w:rPr>
        <w:t>Sci</w:t>
      </w:r>
      <w:proofErr w:type="spellEnd"/>
      <w:r w:rsidRPr="009A7F81">
        <w:rPr>
          <w:color w:val="000000"/>
          <w:sz w:val="28"/>
          <w:szCs w:val="28"/>
          <w:lang w:val="kk-KZ"/>
        </w:rPr>
        <w:t xml:space="preserve">. - 2021. - </w:t>
      </w:r>
      <w:proofErr w:type="spellStart"/>
      <w:r w:rsidRPr="009A7F81">
        <w:rPr>
          <w:color w:val="000000"/>
          <w:sz w:val="28"/>
          <w:szCs w:val="28"/>
          <w:lang w:val="kk-KZ"/>
        </w:rPr>
        <w:t>Vol</w:t>
      </w:r>
      <w:proofErr w:type="spellEnd"/>
      <w:r w:rsidRPr="009A7F81">
        <w:rPr>
          <w:color w:val="000000"/>
          <w:sz w:val="28"/>
          <w:szCs w:val="28"/>
          <w:lang w:val="kk-KZ"/>
        </w:rPr>
        <w:t>. 9. - P. 833–837.</w:t>
      </w:r>
    </w:p>
    <w:p w14:paraId="1E87FFBB" w14:textId="5C8C8BD6" w:rsidR="009A7F81" w:rsidRPr="009A7F81" w:rsidRDefault="009A7F81" w:rsidP="009A7F81">
      <w:pPr>
        <w:ind w:firstLine="709"/>
        <w:jc w:val="both"/>
        <w:rPr>
          <w:color w:val="000000"/>
          <w:sz w:val="28"/>
          <w:szCs w:val="28"/>
          <w:lang w:val="kk-KZ"/>
        </w:rPr>
      </w:pPr>
      <w:proofErr w:type="spellStart"/>
      <w:r w:rsidRPr="009A7F81">
        <w:rPr>
          <w:color w:val="000000"/>
          <w:sz w:val="28"/>
          <w:szCs w:val="28"/>
          <w:lang w:val="kk-KZ"/>
        </w:rPr>
        <w:t>Intellectual</w:t>
      </w:r>
      <w:proofErr w:type="spellEnd"/>
      <w:r w:rsidRPr="009A7F81">
        <w:rPr>
          <w:color w:val="000000"/>
          <w:sz w:val="28"/>
          <w:szCs w:val="28"/>
          <w:lang w:val="kk-KZ"/>
        </w:rPr>
        <w:t xml:space="preserve"> </w:t>
      </w:r>
      <w:proofErr w:type="spellStart"/>
      <w:r w:rsidRPr="009A7F81">
        <w:rPr>
          <w:color w:val="000000"/>
          <w:sz w:val="28"/>
          <w:szCs w:val="28"/>
          <w:lang w:val="kk-KZ"/>
        </w:rPr>
        <w:t>Property</w:t>
      </w:r>
      <w:proofErr w:type="spellEnd"/>
    </w:p>
    <w:p w14:paraId="626A76EF" w14:textId="77777777" w:rsidR="009A7F81" w:rsidRPr="009A7F81" w:rsidRDefault="009A7F81" w:rsidP="009A7F81">
      <w:pPr>
        <w:ind w:firstLine="709"/>
        <w:jc w:val="both"/>
        <w:rPr>
          <w:color w:val="000000"/>
          <w:sz w:val="28"/>
          <w:szCs w:val="28"/>
          <w:lang w:val="kk-KZ"/>
        </w:rPr>
      </w:pPr>
      <w:proofErr w:type="spellStart"/>
      <w:r w:rsidRPr="009A7F81">
        <w:rPr>
          <w:color w:val="000000"/>
          <w:sz w:val="28"/>
          <w:szCs w:val="28"/>
          <w:lang w:val="kk-KZ"/>
        </w:rPr>
        <w:t>Two</w:t>
      </w:r>
      <w:proofErr w:type="spellEnd"/>
      <w:r w:rsidRPr="009A7F81">
        <w:rPr>
          <w:color w:val="000000"/>
          <w:sz w:val="28"/>
          <w:szCs w:val="28"/>
          <w:lang w:val="kk-KZ"/>
        </w:rPr>
        <w:t xml:space="preserve"> </w:t>
      </w:r>
      <w:proofErr w:type="spellStart"/>
      <w:r w:rsidRPr="009A7F81">
        <w:rPr>
          <w:color w:val="000000"/>
          <w:sz w:val="28"/>
          <w:szCs w:val="28"/>
          <w:lang w:val="kk-KZ"/>
        </w:rPr>
        <w:t>certificates</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registration</w:t>
      </w:r>
      <w:proofErr w:type="spellEnd"/>
      <w:r w:rsidRPr="009A7F81">
        <w:rPr>
          <w:color w:val="000000"/>
          <w:sz w:val="28"/>
          <w:szCs w:val="28"/>
          <w:lang w:val="kk-KZ"/>
        </w:rPr>
        <w:t xml:space="preserve"> </w:t>
      </w:r>
      <w:proofErr w:type="spellStart"/>
      <w:r w:rsidRPr="009A7F81">
        <w:rPr>
          <w:color w:val="000000"/>
          <w:sz w:val="28"/>
          <w:szCs w:val="28"/>
          <w:lang w:val="kk-KZ"/>
        </w:rPr>
        <w:t>in</w:t>
      </w:r>
      <w:proofErr w:type="spellEnd"/>
      <w:r w:rsidRPr="009A7F81">
        <w:rPr>
          <w:color w:val="000000"/>
          <w:sz w:val="28"/>
          <w:szCs w:val="28"/>
          <w:lang w:val="kk-KZ"/>
        </w:rPr>
        <w:t xml:space="preserve"> </w:t>
      </w:r>
      <w:proofErr w:type="spellStart"/>
      <w:r w:rsidRPr="009A7F81">
        <w:rPr>
          <w:color w:val="000000"/>
          <w:sz w:val="28"/>
          <w:szCs w:val="28"/>
          <w:lang w:val="kk-KZ"/>
        </w:rPr>
        <w:t>the</w:t>
      </w:r>
      <w:proofErr w:type="spellEnd"/>
      <w:r w:rsidRPr="009A7F81">
        <w:rPr>
          <w:color w:val="000000"/>
          <w:sz w:val="28"/>
          <w:szCs w:val="28"/>
          <w:lang w:val="kk-KZ"/>
        </w:rPr>
        <w:t xml:space="preserve"> </w:t>
      </w:r>
      <w:proofErr w:type="spellStart"/>
      <w:r w:rsidRPr="009A7F81">
        <w:rPr>
          <w:color w:val="000000"/>
          <w:sz w:val="28"/>
          <w:szCs w:val="28"/>
          <w:lang w:val="kk-KZ"/>
        </w:rPr>
        <w:t>State</w:t>
      </w:r>
      <w:proofErr w:type="spellEnd"/>
      <w:r w:rsidRPr="009A7F81">
        <w:rPr>
          <w:color w:val="000000"/>
          <w:sz w:val="28"/>
          <w:szCs w:val="28"/>
          <w:lang w:val="kk-KZ"/>
        </w:rPr>
        <w:t xml:space="preserve"> </w:t>
      </w:r>
      <w:proofErr w:type="spellStart"/>
      <w:r w:rsidRPr="009A7F81">
        <w:rPr>
          <w:color w:val="000000"/>
          <w:sz w:val="28"/>
          <w:szCs w:val="28"/>
          <w:lang w:val="kk-KZ"/>
        </w:rPr>
        <w:t>Register</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Copyright-Protected</w:t>
      </w:r>
      <w:proofErr w:type="spellEnd"/>
      <w:r w:rsidRPr="009A7F81">
        <w:rPr>
          <w:color w:val="000000"/>
          <w:sz w:val="28"/>
          <w:szCs w:val="28"/>
          <w:lang w:val="kk-KZ"/>
        </w:rPr>
        <w:t xml:space="preserve"> </w:t>
      </w:r>
      <w:proofErr w:type="spellStart"/>
      <w:r w:rsidRPr="009A7F81">
        <w:rPr>
          <w:color w:val="000000"/>
          <w:sz w:val="28"/>
          <w:szCs w:val="28"/>
          <w:lang w:val="kk-KZ"/>
        </w:rPr>
        <w:t>Objects</w:t>
      </w:r>
      <w:proofErr w:type="spellEnd"/>
      <w:r w:rsidRPr="009A7F81">
        <w:rPr>
          <w:color w:val="000000"/>
          <w:sz w:val="28"/>
          <w:szCs w:val="28"/>
          <w:lang w:val="kk-KZ"/>
        </w:rPr>
        <w:t xml:space="preserve"> </w:t>
      </w:r>
      <w:proofErr w:type="spellStart"/>
      <w:r w:rsidRPr="009A7F81">
        <w:rPr>
          <w:color w:val="000000"/>
          <w:sz w:val="28"/>
          <w:szCs w:val="28"/>
          <w:lang w:val="kk-KZ"/>
        </w:rPr>
        <w:t>have</w:t>
      </w:r>
      <w:proofErr w:type="spellEnd"/>
      <w:r w:rsidRPr="009A7F81">
        <w:rPr>
          <w:color w:val="000000"/>
          <w:sz w:val="28"/>
          <w:szCs w:val="28"/>
          <w:lang w:val="kk-KZ"/>
        </w:rPr>
        <w:t xml:space="preserve"> </w:t>
      </w:r>
      <w:proofErr w:type="spellStart"/>
      <w:r w:rsidRPr="009A7F81">
        <w:rPr>
          <w:color w:val="000000"/>
          <w:sz w:val="28"/>
          <w:szCs w:val="28"/>
          <w:lang w:val="kk-KZ"/>
        </w:rPr>
        <w:t>been</w:t>
      </w:r>
      <w:proofErr w:type="spellEnd"/>
      <w:r w:rsidRPr="009A7F81">
        <w:rPr>
          <w:color w:val="000000"/>
          <w:sz w:val="28"/>
          <w:szCs w:val="28"/>
          <w:lang w:val="kk-KZ"/>
        </w:rPr>
        <w:t xml:space="preserve"> </w:t>
      </w:r>
      <w:proofErr w:type="spellStart"/>
      <w:r w:rsidRPr="009A7F81">
        <w:rPr>
          <w:color w:val="000000"/>
          <w:sz w:val="28"/>
          <w:szCs w:val="28"/>
          <w:lang w:val="kk-KZ"/>
        </w:rPr>
        <w:t>obtained</w:t>
      </w:r>
      <w:proofErr w:type="spellEnd"/>
      <w:r w:rsidRPr="009A7F81">
        <w:rPr>
          <w:color w:val="000000"/>
          <w:sz w:val="28"/>
          <w:szCs w:val="28"/>
          <w:lang w:val="kk-KZ"/>
        </w:rPr>
        <w:t>:</w:t>
      </w:r>
    </w:p>
    <w:p w14:paraId="29618C09" w14:textId="77777777" w:rsidR="009A7F81" w:rsidRPr="009A7F81" w:rsidRDefault="009A7F81" w:rsidP="009A7F81">
      <w:pPr>
        <w:ind w:firstLine="709"/>
        <w:jc w:val="both"/>
        <w:rPr>
          <w:color w:val="000000"/>
          <w:sz w:val="28"/>
          <w:szCs w:val="28"/>
          <w:lang w:val="kk-KZ"/>
        </w:rPr>
      </w:pPr>
      <w:r w:rsidRPr="009A7F81">
        <w:rPr>
          <w:color w:val="000000"/>
          <w:sz w:val="28"/>
          <w:szCs w:val="28"/>
          <w:lang w:val="kk-KZ"/>
        </w:rPr>
        <w:t xml:space="preserve"> 1. </w:t>
      </w:r>
      <w:proofErr w:type="spellStart"/>
      <w:r w:rsidRPr="009A7F81">
        <w:rPr>
          <w:color w:val="000000"/>
          <w:sz w:val="28"/>
          <w:szCs w:val="28"/>
          <w:lang w:val="kk-KZ"/>
        </w:rPr>
        <w:t>Certificate</w:t>
      </w:r>
      <w:proofErr w:type="spellEnd"/>
      <w:r w:rsidRPr="009A7F81">
        <w:rPr>
          <w:color w:val="000000"/>
          <w:sz w:val="28"/>
          <w:szCs w:val="28"/>
          <w:lang w:val="kk-KZ"/>
        </w:rPr>
        <w:t xml:space="preserve"> </w:t>
      </w:r>
      <w:proofErr w:type="spellStart"/>
      <w:r w:rsidRPr="009A7F81">
        <w:rPr>
          <w:color w:val="000000"/>
          <w:sz w:val="28"/>
          <w:szCs w:val="28"/>
          <w:lang w:val="kk-KZ"/>
        </w:rPr>
        <w:t>No</w:t>
      </w:r>
      <w:proofErr w:type="spellEnd"/>
      <w:r w:rsidRPr="009A7F81">
        <w:rPr>
          <w:color w:val="000000"/>
          <w:sz w:val="28"/>
          <w:szCs w:val="28"/>
          <w:lang w:val="kk-KZ"/>
        </w:rPr>
        <w:t xml:space="preserve">. 15562 </w:t>
      </w:r>
      <w:proofErr w:type="spellStart"/>
      <w:r w:rsidRPr="009A7F81">
        <w:rPr>
          <w:color w:val="000000"/>
          <w:sz w:val="28"/>
          <w:szCs w:val="28"/>
          <w:lang w:val="kk-KZ"/>
        </w:rPr>
        <w:t>dated</w:t>
      </w:r>
      <w:proofErr w:type="spellEnd"/>
      <w:r w:rsidRPr="009A7F81">
        <w:rPr>
          <w:color w:val="000000"/>
          <w:sz w:val="28"/>
          <w:szCs w:val="28"/>
          <w:lang w:val="kk-KZ"/>
        </w:rPr>
        <w:t xml:space="preserve"> </w:t>
      </w:r>
      <w:proofErr w:type="spellStart"/>
      <w:r w:rsidRPr="009A7F81">
        <w:rPr>
          <w:color w:val="000000"/>
          <w:sz w:val="28"/>
          <w:szCs w:val="28"/>
          <w:lang w:val="kk-KZ"/>
        </w:rPr>
        <w:t>March</w:t>
      </w:r>
      <w:proofErr w:type="spellEnd"/>
      <w:r w:rsidRPr="009A7F81">
        <w:rPr>
          <w:color w:val="000000"/>
          <w:sz w:val="28"/>
          <w:szCs w:val="28"/>
          <w:lang w:val="kk-KZ"/>
        </w:rPr>
        <w:t xml:space="preserve"> 1, 2021. </w:t>
      </w:r>
      <w:proofErr w:type="spellStart"/>
      <w:r w:rsidRPr="009A7F81">
        <w:rPr>
          <w:color w:val="000000"/>
          <w:sz w:val="28"/>
          <w:szCs w:val="28"/>
          <w:lang w:val="kk-KZ"/>
        </w:rPr>
        <w:t>Tuleubayev</w:t>
      </w:r>
      <w:proofErr w:type="spellEnd"/>
      <w:r w:rsidRPr="009A7F81">
        <w:rPr>
          <w:color w:val="000000"/>
          <w:sz w:val="28"/>
          <w:szCs w:val="28"/>
          <w:lang w:val="kk-KZ"/>
        </w:rPr>
        <w:t xml:space="preserve"> B.E., </w:t>
      </w:r>
      <w:proofErr w:type="spellStart"/>
      <w:r w:rsidRPr="009A7F81">
        <w:rPr>
          <w:color w:val="000000"/>
          <w:sz w:val="28"/>
          <w:szCs w:val="28"/>
          <w:lang w:val="kk-KZ"/>
        </w:rPr>
        <w:t>Rudenko</w:t>
      </w:r>
      <w:proofErr w:type="spellEnd"/>
      <w:r w:rsidRPr="009A7F81">
        <w:rPr>
          <w:color w:val="000000"/>
          <w:sz w:val="28"/>
          <w:szCs w:val="28"/>
          <w:lang w:val="kk-KZ"/>
        </w:rPr>
        <w:t xml:space="preserve"> A.P., </w:t>
      </w:r>
      <w:proofErr w:type="spellStart"/>
      <w:r w:rsidRPr="009A7F81">
        <w:rPr>
          <w:color w:val="000000"/>
          <w:sz w:val="28"/>
          <w:szCs w:val="28"/>
          <w:lang w:val="kk-KZ"/>
        </w:rPr>
        <w:t>Makhatov</w:t>
      </w:r>
      <w:proofErr w:type="spellEnd"/>
      <w:r w:rsidRPr="009A7F81">
        <w:rPr>
          <w:color w:val="000000"/>
          <w:sz w:val="28"/>
          <w:szCs w:val="28"/>
          <w:lang w:val="kk-KZ"/>
        </w:rPr>
        <w:t xml:space="preserve"> B.K.</w:t>
      </w:r>
    </w:p>
    <w:p w14:paraId="1E460D9D" w14:textId="77777777" w:rsidR="009A7F81" w:rsidRPr="009A7F81" w:rsidRDefault="009A7F81" w:rsidP="009A7F81">
      <w:pPr>
        <w:ind w:firstLine="709"/>
        <w:jc w:val="both"/>
        <w:rPr>
          <w:color w:val="000000"/>
          <w:sz w:val="28"/>
          <w:szCs w:val="28"/>
          <w:lang w:val="kk-KZ"/>
        </w:rPr>
      </w:pPr>
      <w:r w:rsidRPr="009A7F81">
        <w:rPr>
          <w:color w:val="000000"/>
          <w:sz w:val="28"/>
          <w:szCs w:val="28"/>
          <w:lang w:val="kk-KZ"/>
        </w:rPr>
        <w:t xml:space="preserve">“A </w:t>
      </w:r>
      <w:proofErr w:type="spellStart"/>
      <w:r w:rsidRPr="009A7F81">
        <w:rPr>
          <w:color w:val="000000"/>
          <w:sz w:val="28"/>
          <w:szCs w:val="28"/>
          <w:lang w:val="kk-KZ"/>
        </w:rPr>
        <w:t>device</w:t>
      </w:r>
      <w:proofErr w:type="spellEnd"/>
      <w:r w:rsidRPr="009A7F81">
        <w:rPr>
          <w:color w:val="000000"/>
          <w:sz w:val="28"/>
          <w:szCs w:val="28"/>
          <w:lang w:val="kk-KZ"/>
        </w:rPr>
        <w:t xml:space="preserve"> </w:t>
      </w:r>
      <w:proofErr w:type="spellStart"/>
      <w:r w:rsidRPr="009A7F81">
        <w:rPr>
          <w:color w:val="000000"/>
          <w:sz w:val="28"/>
          <w:szCs w:val="28"/>
          <w:lang w:val="kk-KZ"/>
        </w:rPr>
        <w:t>for</w:t>
      </w:r>
      <w:proofErr w:type="spellEnd"/>
      <w:r w:rsidRPr="009A7F81">
        <w:rPr>
          <w:color w:val="000000"/>
          <w:sz w:val="28"/>
          <w:szCs w:val="28"/>
          <w:lang w:val="kk-KZ"/>
        </w:rPr>
        <w:t xml:space="preserve"> </w:t>
      </w:r>
      <w:proofErr w:type="spellStart"/>
      <w:r w:rsidRPr="009A7F81">
        <w:rPr>
          <w:color w:val="000000"/>
          <w:sz w:val="28"/>
          <w:szCs w:val="28"/>
          <w:lang w:val="kk-KZ"/>
        </w:rPr>
        <w:t>fixation</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laboratory</w:t>
      </w:r>
      <w:proofErr w:type="spellEnd"/>
      <w:r w:rsidRPr="009A7F81">
        <w:rPr>
          <w:color w:val="000000"/>
          <w:sz w:val="28"/>
          <w:szCs w:val="28"/>
          <w:lang w:val="kk-KZ"/>
        </w:rPr>
        <w:t xml:space="preserve"> </w:t>
      </w:r>
      <w:proofErr w:type="spellStart"/>
      <w:r w:rsidRPr="009A7F81">
        <w:rPr>
          <w:color w:val="000000"/>
          <w:sz w:val="28"/>
          <w:szCs w:val="28"/>
          <w:lang w:val="kk-KZ"/>
        </w:rPr>
        <w:t>animals</w:t>
      </w:r>
      <w:proofErr w:type="spellEnd"/>
      <w:r w:rsidRPr="009A7F81">
        <w:rPr>
          <w:color w:val="000000"/>
          <w:sz w:val="28"/>
          <w:szCs w:val="28"/>
          <w:lang w:val="kk-KZ"/>
        </w:rPr>
        <w:t xml:space="preserve"> </w:t>
      </w:r>
      <w:proofErr w:type="spellStart"/>
      <w:r w:rsidRPr="009A7F81">
        <w:rPr>
          <w:color w:val="000000"/>
          <w:sz w:val="28"/>
          <w:szCs w:val="28"/>
          <w:lang w:val="kk-KZ"/>
        </w:rPr>
        <w:t>for</w:t>
      </w:r>
      <w:proofErr w:type="spellEnd"/>
      <w:r w:rsidRPr="009A7F81">
        <w:rPr>
          <w:color w:val="000000"/>
          <w:sz w:val="28"/>
          <w:szCs w:val="28"/>
          <w:lang w:val="kk-KZ"/>
        </w:rPr>
        <w:t xml:space="preserve"> </w:t>
      </w:r>
      <w:proofErr w:type="spellStart"/>
      <w:r w:rsidRPr="009A7F81">
        <w:rPr>
          <w:color w:val="000000"/>
          <w:sz w:val="28"/>
          <w:szCs w:val="28"/>
          <w:lang w:val="kk-KZ"/>
        </w:rPr>
        <w:t>radiological</w:t>
      </w:r>
      <w:proofErr w:type="spellEnd"/>
      <w:r w:rsidRPr="009A7F81">
        <w:rPr>
          <w:color w:val="000000"/>
          <w:sz w:val="28"/>
          <w:szCs w:val="28"/>
          <w:lang w:val="kk-KZ"/>
        </w:rPr>
        <w:t xml:space="preserve"> </w:t>
      </w:r>
      <w:proofErr w:type="spellStart"/>
      <w:r w:rsidRPr="009A7F81">
        <w:rPr>
          <w:color w:val="000000"/>
          <w:sz w:val="28"/>
          <w:szCs w:val="28"/>
          <w:lang w:val="kk-KZ"/>
        </w:rPr>
        <w:t>examination</w:t>
      </w:r>
      <w:proofErr w:type="spellEnd"/>
      <w:r w:rsidRPr="009A7F81">
        <w:rPr>
          <w:color w:val="000000"/>
          <w:sz w:val="28"/>
          <w:szCs w:val="28"/>
          <w:lang w:val="kk-KZ"/>
        </w:rPr>
        <w:t>.”</w:t>
      </w:r>
    </w:p>
    <w:p w14:paraId="0084F96F" w14:textId="77777777" w:rsidR="009A7F81" w:rsidRPr="009A7F81" w:rsidRDefault="009A7F81" w:rsidP="009A7F81">
      <w:pPr>
        <w:ind w:firstLine="709"/>
        <w:jc w:val="both"/>
        <w:rPr>
          <w:color w:val="000000"/>
          <w:sz w:val="28"/>
          <w:szCs w:val="28"/>
          <w:lang w:val="kk-KZ"/>
        </w:rPr>
      </w:pPr>
      <w:r w:rsidRPr="009A7F81">
        <w:rPr>
          <w:color w:val="000000"/>
          <w:sz w:val="28"/>
          <w:szCs w:val="28"/>
          <w:lang w:val="kk-KZ"/>
        </w:rPr>
        <w:t>URL: https://copyright.kazpatent.kz/</w:t>
      </w:r>
    </w:p>
    <w:p w14:paraId="0861D00C" w14:textId="77777777" w:rsidR="009A7F81" w:rsidRPr="009A7F81" w:rsidRDefault="009A7F81" w:rsidP="009A7F81">
      <w:pPr>
        <w:ind w:firstLine="709"/>
        <w:jc w:val="both"/>
        <w:rPr>
          <w:color w:val="000000"/>
          <w:sz w:val="28"/>
          <w:szCs w:val="28"/>
          <w:lang w:val="kk-KZ"/>
        </w:rPr>
      </w:pPr>
      <w:r w:rsidRPr="009A7F81">
        <w:rPr>
          <w:color w:val="000000"/>
          <w:sz w:val="28"/>
          <w:szCs w:val="28"/>
          <w:lang w:val="kk-KZ"/>
        </w:rPr>
        <w:t xml:space="preserve"> 2. </w:t>
      </w:r>
      <w:proofErr w:type="spellStart"/>
      <w:r w:rsidRPr="009A7F81">
        <w:rPr>
          <w:color w:val="000000"/>
          <w:sz w:val="28"/>
          <w:szCs w:val="28"/>
          <w:lang w:val="kk-KZ"/>
        </w:rPr>
        <w:t>Certificate</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state</w:t>
      </w:r>
      <w:proofErr w:type="spellEnd"/>
      <w:r w:rsidRPr="009A7F81">
        <w:rPr>
          <w:color w:val="000000"/>
          <w:sz w:val="28"/>
          <w:szCs w:val="28"/>
          <w:lang w:val="kk-KZ"/>
        </w:rPr>
        <w:t xml:space="preserve"> </w:t>
      </w:r>
      <w:proofErr w:type="spellStart"/>
      <w:r w:rsidRPr="009A7F81">
        <w:rPr>
          <w:color w:val="000000"/>
          <w:sz w:val="28"/>
          <w:szCs w:val="28"/>
          <w:lang w:val="kk-KZ"/>
        </w:rPr>
        <w:t>registration</w:t>
      </w:r>
      <w:proofErr w:type="spellEnd"/>
      <w:r w:rsidRPr="009A7F81">
        <w:rPr>
          <w:color w:val="000000"/>
          <w:sz w:val="28"/>
          <w:szCs w:val="28"/>
          <w:lang w:val="kk-KZ"/>
        </w:rPr>
        <w:t xml:space="preserve"> </w:t>
      </w:r>
      <w:proofErr w:type="spellStart"/>
      <w:r w:rsidRPr="009A7F81">
        <w:rPr>
          <w:color w:val="000000"/>
          <w:sz w:val="28"/>
          <w:szCs w:val="28"/>
          <w:lang w:val="kk-KZ"/>
        </w:rPr>
        <w:t>No</w:t>
      </w:r>
      <w:proofErr w:type="spellEnd"/>
      <w:r w:rsidRPr="009A7F81">
        <w:rPr>
          <w:color w:val="000000"/>
          <w:sz w:val="28"/>
          <w:szCs w:val="28"/>
          <w:lang w:val="kk-KZ"/>
        </w:rPr>
        <w:t xml:space="preserve">. 27000 </w:t>
      </w:r>
      <w:proofErr w:type="spellStart"/>
      <w:r w:rsidRPr="009A7F81">
        <w:rPr>
          <w:color w:val="000000"/>
          <w:sz w:val="28"/>
          <w:szCs w:val="28"/>
          <w:lang w:val="kk-KZ"/>
        </w:rPr>
        <w:t>dated</w:t>
      </w:r>
      <w:proofErr w:type="spellEnd"/>
      <w:r w:rsidRPr="009A7F81">
        <w:rPr>
          <w:color w:val="000000"/>
          <w:sz w:val="28"/>
          <w:szCs w:val="28"/>
          <w:lang w:val="kk-KZ"/>
        </w:rPr>
        <w:t xml:space="preserve"> </w:t>
      </w:r>
      <w:proofErr w:type="spellStart"/>
      <w:r w:rsidRPr="009A7F81">
        <w:rPr>
          <w:color w:val="000000"/>
          <w:sz w:val="28"/>
          <w:szCs w:val="28"/>
          <w:lang w:val="kk-KZ"/>
        </w:rPr>
        <w:t>June</w:t>
      </w:r>
      <w:proofErr w:type="spellEnd"/>
      <w:r w:rsidRPr="009A7F81">
        <w:rPr>
          <w:color w:val="000000"/>
          <w:sz w:val="28"/>
          <w:szCs w:val="28"/>
          <w:lang w:val="kk-KZ"/>
        </w:rPr>
        <w:t xml:space="preserve"> 8, 2022. </w:t>
      </w:r>
      <w:proofErr w:type="spellStart"/>
      <w:r w:rsidRPr="009A7F81">
        <w:rPr>
          <w:color w:val="000000"/>
          <w:sz w:val="28"/>
          <w:szCs w:val="28"/>
          <w:lang w:val="kk-KZ"/>
        </w:rPr>
        <w:t>Tuleubayev</w:t>
      </w:r>
      <w:proofErr w:type="spellEnd"/>
      <w:r w:rsidRPr="009A7F81">
        <w:rPr>
          <w:color w:val="000000"/>
          <w:sz w:val="28"/>
          <w:szCs w:val="28"/>
          <w:lang w:val="kk-KZ"/>
        </w:rPr>
        <w:t xml:space="preserve"> B.E., </w:t>
      </w:r>
      <w:proofErr w:type="spellStart"/>
      <w:r w:rsidRPr="009A7F81">
        <w:rPr>
          <w:color w:val="000000"/>
          <w:sz w:val="28"/>
          <w:szCs w:val="28"/>
          <w:lang w:val="kk-KZ"/>
        </w:rPr>
        <w:t>Kurmangaliev</w:t>
      </w:r>
      <w:proofErr w:type="spellEnd"/>
      <w:r w:rsidRPr="009A7F81">
        <w:rPr>
          <w:color w:val="000000"/>
          <w:sz w:val="28"/>
          <w:szCs w:val="28"/>
          <w:lang w:val="kk-KZ"/>
        </w:rPr>
        <w:t xml:space="preserve"> E.T., </w:t>
      </w:r>
      <w:proofErr w:type="spellStart"/>
      <w:r w:rsidRPr="009A7F81">
        <w:rPr>
          <w:color w:val="000000"/>
          <w:sz w:val="28"/>
          <w:szCs w:val="28"/>
          <w:lang w:val="kk-KZ"/>
        </w:rPr>
        <w:t>Rudenko</w:t>
      </w:r>
      <w:proofErr w:type="spellEnd"/>
      <w:r w:rsidRPr="009A7F81">
        <w:rPr>
          <w:color w:val="000000"/>
          <w:sz w:val="28"/>
          <w:szCs w:val="28"/>
          <w:lang w:val="kk-KZ"/>
        </w:rPr>
        <w:t xml:space="preserve"> A.P.</w:t>
      </w:r>
    </w:p>
    <w:p w14:paraId="2B772318" w14:textId="77777777" w:rsidR="009A7F81" w:rsidRPr="009A7F81" w:rsidRDefault="009A7F81" w:rsidP="009A7F81">
      <w:pPr>
        <w:ind w:firstLine="709"/>
        <w:jc w:val="both"/>
        <w:rPr>
          <w:color w:val="000000"/>
          <w:sz w:val="28"/>
          <w:szCs w:val="28"/>
          <w:lang w:val="kk-KZ"/>
        </w:rPr>
      </w:pPr>
      <w:r w:rsidRPr="009A7F81">
        <w:rPr>
          <w:color w:val="000000"/>
          <w:sz w:val="28"/>
          <w:szCs w:val="28"/>
          <w:lang w:val="kk-KZ"/>
        </w:rPr>
        <w:t>“</w:t>
      </w:r>
      <w:proofErr w:type="spellStart"/>
      <w:r w:rsidRPr="009A7F81">
        <w:rPr>
          <w:color w:val="000000"/>
          <w:sz w:val="28"/>
          <w:szCs w:val="28"/>
          <w:lang w:val="kk-KZ"/>
        </w:rPr>
        <w:t>Computer</w:t>
      </w:r>
      <w:proofErr w:type="spellEnd"/>
      <w:r w:rsidRPr="009A7F81">
        <w:rPr>
          <w:color w:val="000000"/>
          <w:sz w:val="28"/>
          <w:szCs w:val="28"/>
          <w:lang w:val="kk-KZ"/>
        </w:rPr>
        <w:t xml:space="preserve"> </w:t>
      </w:r>
      <w:proofErr w:type="spellStart"/>
      <w:r w:rsidRPr="009A7F81">
        <w:rPr>
          <w:color w:val="000000"/>
          <w:sz w:val="28"/>
          <w:szCs w:val="28"/>
          <w:lang w:val="kk-KZ"/>
        </w:rPr>
        <w:t>program</w:t>
      </w:r>
      <w:proofErr w:type="spellEnd"/>
      <w:r w:rsidRPr="009A7F81">
        <w:rPr>
          <w:color w:val="000000"/>
          <w:sz w:val="28"/>
          <w:szCs w:val="28"/>
          <w:lang w:val="kk-KZ"/>
        </w:rPr>
        <w:t xml:space="preserve"> ‘</w:t>
      </w:r>
      <w:proofErr w:type="spellStart"/>
      <w:r w:rsidRPr="009A7F81">
        <w:rPr>
          <w:color w:val="000000"/>
          <w:sz w:val="28"/>
          <w:szCs w:val="28"/>
          <w:lang w:val="kk-KZ"/>
        </w:rPr>
        <w:t>AllograftKuat</w:t>
      </w:r>
      <w:proofErr w:type="spellEnd"/>
      <w:r w:rsidRPr="009A7F81">
        <w:rPr>
          <w:color w:val="000000"/>
          <w:sz w:val="28"/>
          <w:szCs w:val="28"/>
          <w:lang w:val="kk-KZ"/>
        </w:rPr>
        <w:t>’.”</w:t>
      </w:r>
    </w:p>
    <w:p w14:paraId="121483F3" w14:textId="52A9F0ED" w:rsidR="009A7F81" w:rsidRPr="009A7F81" w:rsidRDefault="009A7F81" w:rsidP="009A7F81">
      <w:pPr>
        <w:ind w:firstLine="709"/>
        <w:jc w:val="both"/>
        <w:rPr>
          <w:color w:val="000000"/>
          <w:sz w:val="28"/>
          <w:szCs w:val="28"/>
          <w:lang w:val="kk-KZ"/>
        </w:rPr>
      </w:pPr>
      <w:r w:rsidRPr="009A7F81">
        <w:rPr>
          <w:color w:val="000000"/>
          <w:sz w:val="28"/>
          <w:szCs w:val="28"/>
          <w:lang w:val="kk-KZ"/>
        </w:rPr>
        <w:t>URL: https://copyright.kazpatent.kz/</w:t>
      </w:r>
    </w:p>
    <w:p w14:paraId="5B61A35D" w14:textId="62E051AB" w:rsidR="009A7F81" w:rsidRPr="009A7F81" w:rsidRDefault="009A7F81" w:rsidP="009A7F81">
      <w:pPr>
        <w:ind w:firstLine="709"/>
        <w:jc w:val="both"/>
        <w:rPr>
          <w:color w:val="000000"/>
          <w:sz w:val="28"/>
          <w:szCs w:val="28"/>
          <w:lang w:val="kk-KZ"/>
        </w:rPr>
      </w:pPr>
      <w:proofErr w:type="spellStart"/>
      <w:r w:rsidRPr="009A7F81">
        <w:rPr>
          <w:color w:val="000000"/>
          <w:sz w:val="28"/>
          <w:szCs w:val="28"/>
          <w:lang w:val="kk-KZ"/>
        </w:rPr>
        <w:t>Additionally</w:t>
      </w:r>
      <w:proofErr w:type="spellEnd"/>
      <w:r w:rsidRPr="009A7F81">
        <w:rPr>
          <w:color w:val="000000"/>
          <w:sz w:val="28"/>
          <w:szCs w:val="28"/>
          <w:lang w:val="kk-KZ"/>
        </w:rPr>
        <w:t xml:space="preserve">, </w:t>
      </w:r>
      <w:proofErr w:type="spellStart"/>
      <w:r w:rsidRPr="009A7F81">
        <w:rPr>
          <w:color w:val="000000"/>
          <w:sz w:val="28"/>
          <w:szCs w:val="28"/>
          <w:lang w:val="kk-KZ"/>
        </w:rPr>
        <w:t>one</w:t>
      </w:r>
      <w:proofErr w:type="spellEnd"/>
      <w:r w:rsidRPr="009A7F81">
        <w:rPr>
          <w:color w:val="000000"/>
          <w:sz w:val="28"/>
          <w:szCs w:val="28"/>
          <w:lang w:val="kk-KZ"/>
        </w:rPr>
        <w:t xml:space="preserve"> </w:t>
      </w:r>
      <w:proofErr w:type="spellStart"/>
      <w:r w:rsidRPr="009A7F81">
        <w:rPr>
          <w:color w:val="000000"/>
          <w:sz w:val="28"/>
          <w:szCs w:val="28"/>
          <w:lang w:val="kk-KZ"/>
        </w:rPr>
        <w:t>utility</w:t>
      </w:r>
      <w:proofErr w:type="spellEnd"/>
      <w:r w:rsidRPr="009A7F81">
        <w:rPr>
          <w:color w:val="000000"/>
          <w:sz w:val="28"/>
          <w:szCs w:val="28"/>
          <w:lang w:val="kk-KZ"/>
        </w:rPr>
        <w:t xml:space="preserve"> </w:t>
      </w:r>
      <w:proofErr w:type="spellStart"/>
      <w:r w:rsidRPr="009A7F81">
        <w:rPr>
          <w:color w:val="000000"/>
          <w:sz w:val="28"/>
          <w:szCs w:val="28"/>
          <w:lang w:val="kk-KZ"/>
        </w:rPr>
        <w:t>model</w:t>
      </w:r>
      <w:proofErr w:type="spellEnd"/>
      <w:r w:rsidRPr="009A7F81">
        <w:rPr>
          <w:color w:val="000000"/>
          <w:sz w:val="28"/>
          <w:szCs w:val="28"/>
          <w:lang w:val="kk-KZ"/>
        </w:rPr>
        <w:t xml:space="preserve"> </w:t>
      </w:r>
      <w:proofErr w:type="spellStart"/>
      <w:r w:rsidRPr="009A7F81">
        <w:rPr>
          <w:color w:val="000000"/>
          <w:sz w:val="28"/>
          <w:szCs w:val="28"/>
          <w:lang w:val="kk-KZ"/>
        </w:rPr>
        <w:t>patent</w:t>
      </w:r>
      <w:proofErr w:type="spellEnd"/>
      <w:r w:rsidRPr="009A7F81">
        <w:rPr>
          <w:color w:val="000000"/>
          <w:sz w:val="28"/>
          <w:szCs w:val="28"/>
          <w:lang w:val="kk-KZ"/>
        </w:rPr>
        <w:t xml:space="preserve"> </w:t>
      </w:r>
      <w:proofErr w:type="spellStart"/>
      <w:r w:rsidRPr="009A7F81">
        <w:rPr>
          <w:color w:val="000000"/>
          <w:sz w:val="28"/>
          <w:szCs w:val="28"/>
          <w:lang w:val="kk-KZ"/>
        </w:rPr>
        <w:t>has</w:t>
      </w:r>
      <w:proofErr w:type="spellEnd"/>
      <w:r w:rsidRPr="009A7F81">
        <w:rPr>
          <w:color w:val="000000"/>
          <w:sz w:val="28"/>
          <w:szCs w:val="28"/>
          <w:lang w:val="kk-KZ"/>
        </w:rPr>
        <w:t xml:space="preserve"> </w:t>
      </w:r>
      <w:proofErr w:type="spellStart"/>
      <w:r w:rsidRPr="009A7F81">
        <w:rPr>
          <w:color w:val="000000"/>
          <w:sz w:val="28"/>
          <w:szCs w:val="28"/>
          <w:lang w:val="kk-KZ"/>
        </w:rPr>
        <w:t>been</w:t>
      </w:r>
      <w:proofErr w:type="spellEnd"/>
      <w:r w:rsidRPr="009A7F81">
        <w:rPr>
          <w:color w:val="000000"/>
          <w:sz w:val="28"/>
          <w:szCs w:val="28"/>
          <w:lang w:val="kk-KZ"/>
        </w:rPr>
        <w:t xml:space="preserve"> </w:t>
      </w:r>
      <w:proofErr w:type="spellStart"/>
      <w:r w:rsidRPr="009A7F81">
        <w:rPr>
          <w:color w:val="000000"/>
          <w:sz w:val="28"/>
          <w:szCs w:val="28"/>
          <w:lang w:val="kk-KZ"/>
        </w:rPr>
        <w:t>obtained</w:t>
      </w:r>
      <w:proofErr w:type="spellEnd"/>
      <w:r w:rsidRPr="009A7F81">
        <w:rPr>
          <w:color w:val="000000"/>
          <w:sz w:val="28"/>
          <w:szCs w:val="28"/>
          <w:lang w:val="kk-KZ"/>
        </w:rPr>
        <w:t>:</w:t>
      </w:r>
    </w:p>
    <w:p w14:paraId="4BC5142E" w14:textId="0E8B185D" w:rsidR="009A7F81" w:rsidRPr="00601E4F" w:rsidRDefault="009A7F81" w:rsidP="00601E4F">
      <w:pPr>
        <w:pStyle w:val="a4"/>
        <w:numPr>
          <w:ilvl w:val="0"/>
          <w:numId w:val="25"/>
        </w:numPr>
        <w:rPr>
          <w:color w:val="000000"/>
          <w:sz w:val="28"/>
          <w:szCs w:val="28"/>
          <w:lang w:val="kk-KZ"/>
        </w:rPr>
      </w:pPr>
      <w:r w:rsidRPr="00601E4F">
        <w:rPr>
          <w:color w:val="000000"/>
          <w:sz w:val="28"/>
          <w:szCs w:val="28"/>
          <w:lang w:val="kk-KZ"/>
        </w:rPr>
        <w:t xml:space="preserve">KZ </w:t>
      </w:r>
      <w:proofErr w:type="spellStart"/>
      <w:r w:rsidRPr="00601E4F">
        <w:rPr>
          <w:color w:val="000000"/>
          <w:sz w:val="28"/>
          <w:szCs w:val="28"/>
          <w:lang w:val="kk-KZ"/>
        </w:rPr>
        <w:t>No</w:t>
      </w:r>
      <w:proofErr w:type="spellEnd"/>
      <w:r w:rsidRPr="00601E4F">
        <w:rPr>
          <w:color w:val="000000"/>
          <w:sz w:val="28"/>
          <w:szCs w:val="28"/>
          <w:lang w:val="kk-KZ"/>
        </w:rPr>
        <w:t xml:space="preserve">. 3980 (2018) “A </w:t>
      </w:r>
      <w:proofErr w:type="spellStart"/>
      <w:r w:rsidRPr="00601E4F">
        <w:rPr>
          <w:color w:val="000000"/>
          <w:sz w:val="28"/>
          <w:szCs w:val="28"/>
          <w:lang w:val="kk-KZ"/>
        </w:rPr>
        <w:t>device</w:t>
      </w:r>
      <w:proofErr w:type="spellEnd"/>
      <w:r w:rsidRPr="00601E4F">
        <w:rPr>
          <w:color w:val="000000"/>
          <w:sz w:val="28"/>
          <w:szCs w:val="28"/>
          <w:lang w:val="kk-KZ"/>
        </w:rPr>
        <w:t xml:space="preserve"> </w:t>
      </w:r>
      <w:proofErr w:type="spellStart"/>
      <w:r w:rsidRPr="00601E4F">
        <w:rPr>
          <w:color w:val="000000"/>
          <w:sz w:val="28"/>
          <w:szCs w:val="28"/>
          <w:lang w:val="kk-KZ"/>
        </w:rPr>
        <w:t>for</w:t>
      </w:r>
      <w:proofErr w:type="spellEnd"/>
      <w:r w:rsidRPr="00601E4F">
        <w:rPr>
          <w:color w:val="000000"/>
          <w:sz w:val="28"/>
          <w:szCs w:val="28"/>
          <w:lang w:val="kk-KZ"/>
        </w:rPr>
        <w:t xml:space="preserve"> </w:t>
      </w:r>
      <w:proofErr w:type="spellStart"/>
      <w:r w:rsidRPr="00601E4F">
        <w:rPr>
          <w:color w:val="000000"/>
          <w:sz w:val="28"/>
          <w:szCs w:val="28"/>
          <w:lang w:val="kk-KZ"/>
        </w:rPr>
        <w:t>perforation</w:t>
      </w:r>
      <w:proofErr w:type="spellEnd"/>
      <w:r w:rsidRPr="00601E4F">
        <w:rPr>
          <w:color w:val="000000"/>
          <w:sz w:val="28"/>
          <w:szCs w:val="28"/>
          <w:lang w:val="kk-KZ"/>
        </w:rPr>
        <w:t xml:space="preserve"> </w:t>
      </w:r>
      <w:proofErr w:type="spellStart"/>
      <w:r w:rsidRPr="00601E4F">
        <w:rPr>
          <w:color w:val="000000"/>
          <w:sz w:val="28"/>
          <w:szCs w:val="28"/>
          <w:lang w:val="kk-KZ"/>
        </w:rPr>
        <w:t>of</w:t>
      </w:r>
      <w:proofErr w:type="spellEnd"/>
      <w:r w:rsidRPr="00601E4F">
        <w:rPr>
          <w:color w:val="000000"/>
          <w:sz w:val="28"/>
          <w:szCs w:val="28"/>
          <w:lang w:val="kk-KZ"/>
        </w:rPr>
        <w:t xml:space="preserve"> a </w:t>
      </w:r>
      <w:proofErr w:type="spellStart"/>
      <w:r w:rsidRPr="00601E4F">
        <w:rPr>
          <w:color w:val="000000"/>
          <w:sz w:val="28"/>
          <w:szCs w:val="28"/>
          <w:lang w:val="kk-KZ"/>
        </w:rPr>
        <w:t>bone</w:t>
      </w:r>
      <w:proofErr w:type="spellEnd"/>
      <w:r w:rsidRPr="00601E4F">
        <w:rPr>
          <w:color w:val="000000"/>
          <w:sz w:val="28"/>
          <w:szCs w:val="28"/>
          <w:lang w:val="kk-KZ"/>
        </w:rPr>
        <w:t xml:space="preserve"> </w:t>
      </w:r>
      <w:proofErr w:type="spellStart"/>
      <w:r w:rsidRPr="00601E4F">
        <w:rPr>
          <w:color w:val="000000"/>
          <w:sz w:val="28"/>
          <w:szCs w:val="28"/>
          <w:lang w:val="kk-KZ"/>
        </w:rPr>
        <w:t>allograft</w:t>
      </w:r>
      <w:proofErr w:type="spellEnd"/>
      <w:r w:rsidRPr="00601E4F">
        <w:rPr>
          <w:color w:val="000000"/>
          <w:sz w:val="28"/>
          <w:szCs w:val="28"/>
          <w:lang w:val="kk-KZ"/>
        </w:rPr>
        <w:t>.”</w:t>
      </w:r>
    </w:p>
    <w:p w14:paraId="62A40A0A" w14:textId="77777777" w:rsidR="009A7F81" w:rsidRPr="009A7F81" w:rsidRDefault="009A7F81" w:rsidP="009A7F81">
      <w:pPr>
        <w:ind w:firstLine="709"/>
        <w:jc w:val="both"/>
        <w:rPr>
          <w:color w:val="000000"/>
          <w:sz w:val="28"/>
          <w:szCs w:val="28"/>
          <w:lang w:val="kk-KZ"/>
        </w:rPr>
      </w:pPr>
      <w:proofErr w:type="spellStart"/>
      <w:r w:rsidRPr="009A7F81">
        <w:rPr>
          <w:color w:val="000000"/>
          <w:sz w:val="28"/>
          <w:szCs w:val="28"/>
          <w:lang w:val="kk-KZ"/>
        </w:rPr>
        <w:t>Authors</w:t>
      </w:r>
      <w:proofErr w:type="spellEnd"/>
      <w:r w:rsidRPr="009A7F81">
        <w:rPr>
          <w:color w:val="000000"/>
          <w:sz w:val="28"/>
          <w:szCs w:val="28"/>
          <w:lang w:val="kk-KZ"/>
        </w:rPr>
        <w:t xml:space="preserve">: </w:t>
      </w:r>
      <w:proofErr w:type="spellStart"/>
      <w:r w:rsidRPr="009A7F81">
        <w:rPr>
          <w:color w:val="000000"/>
          <w:sz w:val="28"/>
          <w:szCs w:val="28"/>
          <w:lang w:val="kk-KZ"/>
        </w:rPr>
        <w:t>Tuleubayev</w:t>
      </w:r>
      <w:proofErr w:type="spellEnd"/>
      <w:r w:rsidRPr="009A7F81">
        <w:rPr>
          <w:color w:val="000000"/>
          <w:sz w:val="28"/>
          <w:szCs w:val="28"/>
          <w:lang w:val="kk-KZ"/>
        </w:rPr>
        <w:t xml:space="preserve"> B.E., </w:t>
      </w:r>
      <w:proofErr w:type="spellStart"/>
      <w:r w:rsidRPr="009A7F81">
        <w:rPr>
          <w:color w:val="000000"/>
          <w:sz w:val="28"/>
          <w:szCs w:val="28"/>
          <w:lang w:val="kk-KZ"/>
        </w:rPr>
        <w:t>Abiev</w:t>
      </w:r>
      <w:proofErr w:type="spellEnd"/>
      <w:r w:rsidRPr="009A7F81">
        <w:rPr>
          <w:color w:val="000000"/>
          <w:sz w:val="28"/>
          <w:szCs w:val="28"/>
          <w:lang w:val="kk-KZ"/>
        </w:rPr>
        <w:t xml:space="preserve"> T.M., </w:t>
      </w:r>
      <w:proofErr w:type="spellStart"/>
      <w:r w:rsidRPr="009A7F81">
        <w:rPr>
          <w:color w:val="000000"/>
          <w:sz w:val="28"/>
          <w:szCs w:val="28"/>
          <w:lang w:val="kk-KZ"/>
        </w:rPr>
        <w:t>Saginova</w:t>
      </w:r>
      <w:proofErr w:type="spellEnd"/>
      <w:r w:rsidRPr="009A7F81">
        <w:rPr>
          <w:color w:val="000000"/>
          <w:sz w:val="28"/>
          <w:szCs w:val="28"/>
          <w:lang w:val="kk-KZ"/>
        </w:rPr>
        <w:t xml:space="preserve"> D.A., </w:t>
      </w:r>
      <w:proofErr w:type="spellStart"/>
      <w:r w:rsidRPr="009A7F81">
        <w:rPr>
          <w:color w:val="000000"/>
          <w:sz w:val="28"/>
          <w:szCs w:val="28"/>
          <w:lang w:val="kk-KZ"/>
        </w:rPr>
        <w:t>Saginov</w:t>
      </w:r>
      <w:proofErr w:type="spellEnd"/>
      <w:r w:rsidRPr="009A7F81">
        <w:rPr>
          <w:color w:val="000000"/>
          <w:sz w:val="28"/>
          <w:szCs w:val="28"/>
          <w:lang w:val="kk-KZ"/>
        </w:rPr>
        <w:t xml:space="preserve"> A.M., </w:t>
      </w:r>
      <w:proofErr w:type="spellStart"/>
      <w:r w:rsidRPr="009A7F81">
        <w:rPr>
          <w:color w:val="000000"/>
          <w:sz w:val="28"/>
          <w:szCs w:val="28"/>
          <w:lang w:val="kk-KZ"/>
        </w:rPr>
        <w:t>Arutyunyan</w:t>
      </w:r>
      <w:proofErr w:type="spellEnd"/>
      <w:r w:rsidRPr="009A7F81">
        <w:rPr>
          <w:color w:val="000000"/>
          <w:sz w:val="28"/>
          <w:szCs w:val="28"/>
          <w:lang w:val="kk-KZ"/>
        </w:rPr>
        <w:t xml:space="preserve"> M.G., </w:t>
      </w:r>
      <w:proofErr w:type="spellStart"/>
      <w:r w:rsidRPr="009A7F81">
        <w:rPr>
          <w:color w:val="000000"/>
          <w:sz w:val="28"/>
          <w:szCs w:val="28"/>
          <w:lang w:val="kk-KZ"/>
        </w:rPr>
        <w:t>Dolotbek</w:t>
      </w:r>
      <w:proofErr w:type="spellEnd"/>
      <w:r w:rsidRPr="009A7F81">
        <w:rPr>
          <w:color w:val="000000"/>
          <w:sz w:val="28"/>
          <w:szCs w:val="28"/>
          <w:lang w:val="kk-KZ"/>
        </w:rPr>
        <w:t xml:space="preserve"> </w:t>
      </w:r>
      <w:proofErr w:type="spellStart"/>
      <w:r w:rsidRPr="009A7F81">
        <w:rPr>
          <w:color w:val="000000"/>
          <w:sz w:val="28"/>
          <w:szCs w:val="28"/>
          <w:lang w:val="kk-KZ"/>
        </w:rPr>
        <w:t>uulu</w:t>
      </w:r>
      <w:proofErr w:type="spellEnd"/>
      <w:r w:rsidRPr="009A7F81">
        <w:rPr>
          <w:color w:val="000000"/>
          <w:sz w:val="28"/>
          <w:szCs w:val="28"/>
          <w:lang w:val="kk-KZ"/>
        </w:rPr>
        <w:t xml:space="preserve"> A., </w:t>
      </w:r>
      <w:proofErr w:type="spellStart"/>
      <w:r w:rsidRPr="009A7F81">
        <w:rPr>
          <w:color w:val="000000"/>
          <w:sz w:val="28"/>
          <w:szCs w:val="28"/>
          <w:lang w:val="kk-KZ"/>
        </w:rPr>
        <w:t>Shabanov</w:t>
      </w:r>
      <w:proofErr w:type="spellEnd"/>
      <w:r w:rsidRPr="009A7F81">
        <w:rPr>
          <w:color w:val="000000"/>
          <w:sz w:val="28"/>
          <w:szCs w:val="28"/>
          <w:lang w:val="kk-KZ"/>
        </w:rPr>
        <w:t xml:space="preserve"> A.A., </w:t>
      </w:r>
      <w:proofErr w:type="spellStart"/>
      <w:r w:rsidRPr="009A7F81">
        <w:rPr>
          <w:color w:val="000000"/>
          <w:sz w:val="28"/>
          <w:szCs w:val="28"/>
          <w:lang w:val="kk-KZ"/>
        </w:rPr>
        <w:t>Rudenko</w:t>
      </w:r>
      <w:proofErr w:type="spellEnd"/>
      <w:r w:rsidRPr="009A7F81">
        <w:rPr>
          <w:color w:val="000000"/>
          <w:sz w:val="28"/>
          <w:szCs w:val="28"/>
          <w:lang w:val="kk-KZ"/>
        </w:rPr>
        <w:t xml:space="preserve"> A.P.</w:t>
      </w:r>
    </w:p>
    <w:p w14:paraId="0C353FB7" w14:textId="16CD73CE" w:rsidR="009A7F81" w:rsidRPr="009A7F81" w:rsidRDefault="009A7F81" w:rsidP="009A7F81">
      <w:pPr>
        <w:ind w:firstLine="709"/>
        <w:jc w:val="both"/>
        <w:rPr>
          <w:color w:val="000000"/>
          <w:sz w:val="28"/>
          <w:szCs w:val="28"/>
          <w:lang w:val="en-US"/>
        </w:rPr>
      </w:pPr>
      <w:r w:rsidRPr="009A7F81">
        <w:rPr>
          <w:color w:val="000000"/>
          <w:sz w:val="28"/>
          <w:szCs w:val="28"/>
          <w:lang w:val="kk-KZ"/>
        </w:rPr>
        <w:t>URL: https://gosreestr.kazpatent.kz/Utilitymodel/Details?docNumber=30496</w:t>
      </w:r>
      <w:r>
        <w:rPr>
          <w:color w:val="000000"/>
          <w:sz w:val="28"/>
          <w:szCs w:val="28"/>
          <w:lang w:val="en-US"/>
        </w:rPr>
        <w:t>0</w:t>
      </w:r>
    </w:p>
    <w:p w14:paraId="5345E776" w14:textId="2267427D" w:rsidR="009A7F81" w:rsidRPr="009A7F81" w:rsidRDefault="009A7F81" w:rsidP="009A7F81">
      <w:pPr>
        <w:ind w:firstLine="709"/>
        <w:jc w:val="both"/>
        <w:rPr>
          <w:color w:val="000000"/>
          <w:sz w:val="28"/>
          <w:szCs w:val="28"/>
          <w:lang w:val="kk-KZ"/>
        </w:rPr>
      </w:pPr>
      <w:proofErr w:type="spellStart"/>
      <w:r w:rsidRPr="009A7F81">
        <w:rPr>
          <w:color w:val="000000"/>
          <w:sz w:val="28"/>
          <w:szCs w:val="28"/>
          <w:lang w:val="kk-KZ"/>
        </w:rPr>
        <w:t>Scope</w:t>
      </w:r>
      <w:proofErr w:type="spellEnd"/>
      <w:r w:rsidRPr="009A7F81">
        <w:rPr>
          <w:color w:val="000000"/>
          <w:sz w:val="28"/>
          <w:szCs w:val="28"/>
          <w:lang w:val="kk-KZ"/>
        </w:rPr>
        <w:t xml:space="preserve"> </w:t>
      </w:r>
      <w:proofErr w:type="spellStart"/>
      <w:r w:rsidRPr="009A7F81">
        <w:rPr>
          <w:color w:val="000000"/>
          <w:sz w:val="28"/>
          <w:szCs w:val="28"/>
          <w:lang w:val="kk-KZ"/>
        </w:rPr>
        <w:t>and</w:t>
      </w:r>
      <w:proofErr w:type="spellEnd"/>
      <w:r w:rsidRPr="009A7F81">
        <w:rPr>
          <w:color w:val="000000"/>
          <w:sz w:val="28"/>
          <w:szCs w:val="28"/>
          <w:lang w:val="kk-KZ"/>
        </w:rPr>
        <w:t xml:space="preserve"> </w:t>
      </w:r>
      <w:proofErr w:type="spellStart"/>
      <w:r w:rsidRPr="009A7F81">
        <w:rPr>
          <w:color w:val="000000"/>
          <w:sz w:val="28"/>
          <w:szCs w:val="28"/>
          <w:lang w:val="kk-KZ"/>
        </w:rPr>
        <w:t>Structure</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the</w:t>
      </w:r>
      <w:proofErr w:type="spellEnd"/>
      <w:r w:rsidRPr="009A7F81">
        <w:rPr>
          <w:color w:val="000000"/>
          <w:sz w:val="28"/>
          <w:szCs w:val="28"/>
          <w:lang w:val="kk-KZ"/>
        </w:rPr>
        <w:t xml:space="preserve"> </w:t>
      </w:r>
      <w:proofErr w:type="spellStart"/>
      <w:r w:rsidRPr="009A7F81">
        <w:rPr>
          <w:color w:val="000000"/>
          <w:sz w:val="28"/>
          <w:szCs w:val="28"/>
          <w:lang w:val="kk-KZ"/>
        </w:rPr>
        <w:t>Dissertation</w:t>
      </w:r>
      <w:proofErr w:type="spellEnd"/>
    </w:p>
    <w:p w14:paraId="7E32281C" w14:textId="2279E225" w:rsidR="00A54905" w:rsidRPr="009A7F81" w:rsidRDefault="009A7F81" w:rsidP="009A7F81">
      <w:pPr>
        <w:ind w:firstLine="709"/>
        <w:jc w:val="both"/>
        <w:rPr>
          <w:color w:val="000000"/>
          <w:sz w:val="28"/>
          <w:szCs w:val="28"/>
          <w:lang w:val="kk-KZ"/>
        </w:rPr>
      </w:pPr>
      <w:proofErr w:type="spellStart"/>
      <w:r w:rsidRPr="009A7F81">
        <w:rPr>
          <w:color w:val="000000"/>
          <w:sz w:val="28"/>
          <w:szCs w:val="28"/>
          <w:lang w:val="kk-KZ"/>
        </w:rPr>
        <w:t>The</w:t>
      </w:r>
      <w:proofErr w:type="spellEnd"/>
      <w:r w:rsidRPr="009A7F81">
        <w:rPr>
          <w:color w:val="000000"/>
          <w:sz w:val="28"/>
          <w:szCs w:val="28"/>
          <w:lang w:val="kk-KZ"/>
        </w:rPr>
        <w:t xml:space="preserve"> </w:t>
      </w:r>
      <w:proofErr w:type="spellStart"/>
      <w:r w:rsidRPr="009A7F81">
        <w:rPr>
          <w:color w:val="000000"/>
          <w:sz w:val="28"/>
          <w:szCs w:val="28"/>
          <w:lang w:val="kk-KZ"/>
        </w:rPr>
        <w:t>dissertation</w:t>
      </w:r>
      <w:proofErr w:type="spellEnd"/>
      <w:r w:rsidRPr="009A7F81">
        <w:rPr>
          <w:color w:val="000000"/>
          <w:sz w:val="28"/>
          <w:szCs w:val="28"/>
          <w:lang w:val="kk-KZ"/>
        </w:rPr>
        <w:t xml:space="preserve"> </w:t>
      </w:r>
      <w:proofErr w:type="spellStart"/>
      <w:r w:rsidRPr="009A7F81">
        <w:rPr>
          <w:color w:val="000000"/>
          <w:sz w:val="28"/>
          <w:szCs w:val="28"/>
          <w:lang w:val="kk-KZ"/>
        </w:rPr>
        <w:t>consists</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an</w:t>
      </w:r>
      <w:proofErr w:type="spellEnd"/>
      <w:r w:rsidRPr="009A7F81">
        <w:rPr>
          <w:color w:val="000000"/>
          <w:sz w:val="28"/>
          <w:szCs w:val="28"/>
          <w:lang w:val="kk-KZ"/>
        </w:rPr>
        <w:t xml:space="preserve"> </w:t>
      </w:r>
      <w:proofErr w:type="spellStart"/>
      <w:r w:rsidRPr="009A7F81">
        <w:rPr>
          <w:color w:val="000000"/>
          <w:sz w:val="28"/>
          <w:szCs w:val="28"/>
          <w:lang w:val="kk-KZ"/>
        </w:rPr>
        <w:t>introduction</w:t>
      </w:r>
      <w:proofErr w:type="spellEnd"/>
      <w:r w:rsidRPr="009A7F81">
        <w:rPr>
          <w:color w:val="000000"/>
          <w:sz w:val="28"/>
          <w:szCs w:val="28"/>
          <w:lang w:val="kk-KZ"/>
        </w:rPr>
        <w:t xml:space="preserve">, a </w:t>
      </w:r>
      <w:proofErr w:type="spellStart"/>
      <w:r w:rsidRPr="009A7F81">
        <w:rPr>
          <w:color w:val="000000"/>
          <w:sz w:val="28"/>
          <w:szCs w:val="28"/>
          <w:lang w:val="kk-KZ"/>
        </w:rPr>
        <w:t>literature</w:t>
      </w:r>
      <w:proofErr w:type="spellEnd"/>
      <w:r w:rsidRPr="009A7F81">
        <w:rPr>
          <w:color w:val="000000"/>
          <w:sz w:val="28"/>
          <w:szCs w:val="28"/>
          <w:lang w:val="kk-KZ"/>
        </w:rPr>
        <w:t xml:space="preserve"> </w:t>
      </w:r>
      <w:proofErr w:type="spellStart"/>
      <w:r w:rsidRPr="009A7F81">
        <w:rPr>
          <w:color w:val="000000"/>
          <w:sz w:val="28"/>
          <w:szCs w:val="28"/>
          <w:lang w:val="kk-KZ"/>
        </w:rPr>
        <w:t>review</w:t>
      </w:r>
      <w:proofErr w:type="spellEnd"/>
      <w:r w:rsidRPr="009A7F81">
        <w:rPr>
          <w:color w:val="000000"/>
          <w:sz w:val="28"/>
          <w:szCs w:val="28"/>
          <w:lang w:val="kk-KZ"/>
        </w:rPr>
        <w:t xml:space="preserve">, </w:t>
      </w:r>
      <w:proofErr w:type="spellStart"/>
      <w:r w:rsidRPr="009A7F81">
        <w:rPr>
          <w:color w:val="000000"/>
          <w:sz w:val="28"/>
          <w:szCs w:val="28"/>
          <w:lang w:val="kk-KZ"/>
        </w:rPr>
        <w:t>the</w:t>
      </w:r>
      <w:proofErr w:type="spellEnd"/>
      <w:r w:rsidRPr="009A7F81">
        <w:rPr>
          <w:color w:val="000000"/>
          <w:sz w:val="28"/>
          <w:szCs w:val="28"/>
          <w:lang w:val="kk-KZ"/>
        </w:rPr>
        <w:t xml:space="preserve"> </w:t>
      </w:r>
      <w:proofErr w:type="spellStart"/>
      <w:r w:rsidRPr="009A7F81">
        <w:rPr>
          <w:color w:val="000000"/>
          <w:sz w:val="28"/>
          <w:szCs w:val="28"/>
          <w:lang w:val="kk-KZ"/>
        </w:rPr>
        <w:t>main</w:t>
      </w:r>
      <w:proofErr w:type="spellEnd"/>
      <w:r w:rsidRPr="009A7F81">
        <w:rPr>
          <w:color w:val="000000"/>
          <w:sz w:val="28"/>
          <w:szCs w:val="28"/>
          <w:lang w:val="kk-KZ"/>
        </w:rPr>
        <w:t xml:space="preserve"> </w:t>
      </w:r>
      <w:proofErr w:type="spellStart"/>
      <w:r w:rsidRPr="009A7F81">
        <w:rPr>
          <w:color w:val="000000"/>
          <w:sz w:val="28"/>
          <w:szCs w:val="28"/>
          <w:lang w:val="kk-KZ"/>
        </w:rPr>
        <w:t>part</w:t>
      </w:r>
      <w:proofErr w:type="spellEnd"/>
      <w:r w:rsidRPr="009A7F81">
        <w:rPr>
          <w:color w:val="000000"/>
          <w:sz w:val="28"/>
          <w:szCs w:val="28"/>
          <w:lang w:val="kk-KZ"/>
        </w:rPr>
        <w:t xml:space="preserve"> (</w:t>
      </w:r>
      <w:proofErr w:type="spellStart"/>
      <w:r w:rsidRPr="009A7F81">
        <w:rPr>
          <w:color w:val="000000"/>
          <w:sz w:val="28"/>
          <w:szCs w:val="28"/>
          <w:lang w:val="kk-KZ"/>
        </w:rPr>
        <w:t>materials</w:t>
      </w:r>
      <w:proofErr w:type="spellEnd"/>
      <w:r w:rsidRPr="009A7F81">
        <w:rPr>
          <w:color w:val="000000"/>
          <w:sz w:val="28"/>
          <w:szCs w:val="28"/>
          <w:lang w:val="kk-KZ"/>
        </w:rPr>
        <w:t xml:space="preserve"> </w:t>
      </w:r>
      <w:proofErr w:type="spellStart"/>
      <w:r w:rsidRPr="009A7F81">
        <w:rPr>
          <w:color w:val="000000"/>
          <w:sz w:val="28"/>
          <w:szCs w:val="28"/>
          <w:lang w:val="kk-KZ"/>
        </w:rPr>
        <w:t>and</w:t>
      </w:r>
      <w:proofErr w:type="spellEnd"/>
      <w:r w:rsidRPr="009A7F81">
        <w:rPr>
          <w:color w:val="000000"/>
          <w:sz w:val="28"/>
          <w:szCs w:val="28"/>
          <w:lang w:val="kk-KZ"/>
        </w:rPr>
        <w:t xml:space="preserve"> </w:t>
      </w:r>
      <w:proofErr w:type="spellStart"/>
      <w:r w:rsidRPr="009A7F81">
        <w:rPr>
          <w:color w:val="000000"/>
          <w:sz w:val="28"/>
          <w:szCs w:val="28"/>
          <w:lang w:val="kk-KZ"/>
        </w:rPr>
        <w:t>methods</w:t>
      </w:r>
      <w:proofErr w:type="spellEnd"/>
      <w:r w:rsidRPr="009A7F81">
        <w:rPr>
          <w:color w:val="000000"/>
          <w:sz w:val="28"/>
          <w:szCs w:val="28"/>
          <w:lang w:val="kk-KZ"/>
        </w:rPr>
        <w:t xml:space="preserve">, </w:t>
      </w:r>
      <w:proofErr w:type="spellStart"/>
      <w:r w:rsidRPr="009A7F81">
        <w:rPr>
          <w:color w:val="000000"/>
          <w:sz w:val="28"/>
          <w:szCs w:val="28"/>
          <w:lang w:val="kk-KZ"/>
        </w:rPr>
        <w:t>results</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original</w:t>
      </w:r>
      <w:proofErr w:type="spellEnd"/>
      <w:r w:rsidRPr="009A7F81">
        <w:rPr>
          <w:color w:val="000000"/>
          <w:sz w:val="28"/>
          <w:szCs w:val="28"/>
          <w:lang w:val="kk-KZ"/>
        </w:rPr>
        <w:t xml:space="preserve"> </w:t>
      </w:r>
      <w:proofErr w:type="spellStart"/>
      <w:r w:rsidRPr="009A7F81">
        <w:rPr>
          <w:color w:val="000000"/>
          <w:sz w:val="28"/>
          <w:szCs w:val="28"/>
          <w:lang w:val="kk-KZ"/>
        </w:rPr>
        <w:t>research</w:t>
      </w:r>
      <w:proofErr w:type="spellEnd"/>
      <w:r w:rsidRPr="009A7F81">
        <w:rPr>
          <w:color w:val="000000"/>
          <w:sz w:val="28"/>
          <w:szCs w:val="28"/>
          <w:lang w:val="kk-KZ"/>
        </w:rPr>
        <w:t xml:space="preserve">), a </w:t>
      </w:r>
      <w:proofErr w:type="spellStart"/>
      <w:r w:rsidRPr="009A7F81">
        <w:rPr>
          <w:color w:val="000000"/>
          <w:sz w:val="28"/>
          <w:szCs w:val="28"/>
          <w:lang w:val="kk-KZ"/>
        </w:rPr>
        <w:t>conclusion</w:t>
      </w:r>
      <w:proofErr w:type="spellEnd"/>
      <w:r w:rsidRPr="009A7F81">
        <w:rPr>
          <w:color w:val="000000"/>
          <w:sz w:val="28"/>
          <w:szCs w:val="28"/>
          <w:lang w:val="kk-KZ"/>
        </w:rPr>
        <w:t xml:space="preserve"> </w:t>
      </w:r>
      <w:proofErr w:type="spellStart"/>
      <w:r w:rsidRPr="009A7F81">
        <w:rPr>
          <w:color w:val="000000"/>
          <w:sz w:val="28"/>
          <w:szCs w:val="28"/>
          <w:lang w:val="kk-KZ"/>
        </w:rPr>
        <w:t>including</w:t>
      </w:r>
      <w:proofErr w:type="spellEnd"/>
      <w:r w:rsidRPr="009A7F81">
        <w:rPr>
          <w:color w:val="000000"/>
          <w:sz w:val="28"/>
          <w:szCs w:val="28"/>
          <w:lang w:val="kk-KZ"/>
        </w:rPr>
        <w:t xml:space="preserve"> </w:t>
      </w:r>
      <w:proofErr w:type="spellStart"/>
      <w:r w:rsidRPr="009A7F81">
        <w:rPr>
          <w:color w:val="000000"/>
          <w:sz w:val="28"/>
          <w:szCs w:val="28"/>
          <w:lang w:val="kk-KZ"/>
        </w:rPr>
        <w:t>findings</w:t>
      </w:r>
      <w:proofErr w:type="spellEnd"/>
      <w:r w:rsidRPr="009A7F81">
        <w:rPr>
          <w:color w:val="000000"/>
          <w:sz w:val="28"/>
          <w:szCs w:val="28"/>
          <w:lang w:val="kk-KZ"/>
        </w:rPr>
        <w:t xml:space="preserve"> </w:t>
      </w:r>
      <w:proofErr w:type="spellStart"/>
      <w:r w:rsidRPr="009A7F81">
        <w:rPr>
          <w:color w:val="000000"/>
          <w:sz w:val="28"/>
          <w:szCs w:val="28"/>
          <w:lang w:val="kk-KZ"/>
        </w:rPr>
        <w:t>and</w:t>
      </w:r>
      <w:proofErr w:type="spellEnd"/>
      <w:r w:rsidRPr="009A7F81">
        <w:rPr>
          <w:color w:val="000000"/>
          <w:sz w:val="28"/>
          <w:szCs w:val="28"/>
          <w:lang w:val="kk-KZ"/>
        </w:rPr>
        <w:t xml:space="preserve"> </w:t>
      </w:r>
      <w:proofErr w:type="spellStart"/>
      <w:r w:rsidRPr="009A7F81">
        <w:rPr>
          <w:color w:val="000000"/>
          <w:sz w:val="28"/>
          <w:szCs w:val="28"/>
          <w:lang w:val="kk-KZ"/>
        </w:rPr>
        <w:t>practical</w:t>
      </w:r>
      <w:proofErr w:type="spellEnd"/>
      <w:r w:rsidRPr="009A7F81">
        <w:rPr>
          <w:color w:val="000000"/>
          <w:sz w:val="28"/>
          <w:szCs w:val="28"/>
          <w:lang w:val="kk-KZ"/>
        </w:rPr>
        <w:t xml:space="preserve"> </w:t>
      </w:r>
      <w:proofErr w:type="spellStart"/>
      <w:r w:rsidRPr="009A7F81">
        <w:rPr>
          <w:color w:val="000000"/>
          <w:sz w:val="28"/>
          <w:szCs w:val="28"/>
          <w:lang w:val="kk-KZ"/>
        </w:rPr>
        <w:t>significance</w:t>
      </w:r>
      <w:proofErr w:type="spellEnd"/>
      <w:r w:rsidRPr="009A7F81">
        <w:rPr>
          <w:color w:val="000000"/>
          <w:sz w:val="28"/>
          <w:szCs w:val="28"/>
          <w:lang w:val="kk-KZ"/>
        </w:rPr>
        <w:t xml:space="preserve">, </w:t>
      </w:r>
      <w:proofErr w:type="spellStart"/>
      <w:r w:rsidRPr="009A7F81">
        <w:rPr>
          <w:color w:val="000000"/>
          <w:sz w:val="28"/>
          <w:szCs w:val="28"/>
          <w:lang w:val="kk-KZ"/>
        </w:rPr>
        <w:t>and</w:t>
      </w:r>
      <w:proofErr w:type="spellEnd"/>
      <w:r w:rsidRPr="009A7F81">
        <w:rPr>
          <w:color w:val="000000"/>
          <w:sz w:val="28"/>
          <w:szCs w:val="28"/>
          <w:lang w:val="kk-KZ"/>
        </w:rPr>
        <w:t xml:space="preserve"> a </w:t>
      </w:r>
      <w:proofErr w:type="spellStart"/>
      <w:r w:rsidRPr="009A7F81">
        <w:rPr>
          <w:color w:val="000000"/>
          <w:sz w:val="28"/>
          <w:szCs w:val="28"/>
          <w:lang w:val="kk-KZ"/>
        </w:rPr>
        <w:t>list</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references</w:t>
      </w:r>
      <w:proofErr w:type="spellEnd"/>
      <w:r w:rsidRPr="009A7F81">
        <w:rPr>
          <w:color w:val="000000"/>
          <w:sz w:val="28"/>
          <w:szCs w:val="28"/>
          <w:lang w:val="kk-KZ"/>
        </w:rPr>
        <w:t xml:space="preserve"> </w:t>
      </w:r>
      <w:proofErr w:type="spellStart"/>
      <w:r w:rsidRPr="009A7F81">
        <w:rPr>
          <w:color w:val="000000"/>
          <w:sz w:val="28"/>
          <w:szCs w:val="28"/>
          <w:lang w:val="kk-KZ"/>
        </w:rPr>
        <w:t>comprising</w:t>
      </w:r>
      <w:proofErr w:type="spellEnd"/>
      <w:r w:rsidRPr="009A7F81">
        <w:rPr>
          <w:color w:val="000000"/>
          <w:sz w:val="28"/>
          <w:szCs w:val="28"/>
          <w:lang w:val="kk-KZ"/>
        </w:rPr>
        <w:t xml:space="preserve"> 140 </w:t>
      </w:r>
      <w:proofErr w:type="spellStart"/>
      <w:r w:rsidRPr="009A7F81">
        <w:rPr>
          <w:color w:val="000000"/>
          <w:sz w:val="28"/>
          <w:szCs w:val="28"/>
          <w:lang w:val="kk-KZ"/>
        </w:rPr>
        <w:t>sources</w:t>
      </w:r>
      <w:proofErr w:type="spellEnd"/>
      <w:r w:rsidRPr="009A7F81">
        <w:rPr>
          <w:color w:val="000000"/>
          <w:sz w:val="28"/>
          <w:szCs w:val="28"/>
          <w:lang w:val="kk-KZ"/>
        </w:rPr>
        <w:t>.</w:t>
      </w:r>
      <w:r>
        <w:rPr>
          <w:color w:val="000000"/>
          <w:sz w:val="28"/>
          <w:szCs w:val="28"/>
          <w:lang w:val="en-US"/>
        </w:rPr>
        <w:t xml:space="preserve"> </w:t>
      </w:r>
      <w:proofErr w:type="spellStart"/>
      <w:r w:rsidRPr="009A7F81">
        <w:rPr>
          <w:color w:val="000000"/>
          <w:sz w:val="28"/>
          <w:szCs w:val="28"/>
          <w:lang w:val="kk-KZ"/>
        </w:rPr>
        <w:t>The</w:t>
      </w:r>
      <w:proofErr w:type="spellEnd"/>
      <w:r w:rsidRPr="009A7F81">
        <w:rPr>
          <w:color w:val="000000"/>
          <w:sz w:val="28"/>
          <w:szCs w:val="28"/>
          <w:lang w:val="kk-KZ"/>
        </w:rPr>
        <w:t xml:space="preserve"> </w:t>
      </w:r>
      <w:proofErr w:type="spellStart"/>
      <w:r w:rsidRPr="009A7F81">
        <w:rPr>
          <w:color w:val="000000"/>
          <w:sz w:val="28"/>
          <w:szCs w:val="28"/>
          <w:lang w:val="kk-KZ"/>
        </w:rPr>
        <w:t>text</w:t>
      </w:r>
      <w:proofErr w:type="spellEnd"/>
      <w:r w:rsidRPr="009A7F81">
        <w:rPr>
          <w:color w:val="000000"/>
          <w:sz w:val="28"/>
          <w:szCs w:val="28"/>
          <w:lang w:val="kk-KZ"/>
        </w:rPr>
        <w:t xml:space="preserve"> </w:t>
      </w:r>
      <w:proofErr w:type="spellStart"/>
      <w:r w:rsidRPr="009A7F81">
        <w:rPr>
          <w:color w:val="000000"/>
          <w:sz w:val="28"/>
          <w:szCs w:val="28"/>
          <w:lang w:val="kk-KZ"/>
        </w:rPr>
        <w:t>is</w:t>
      </w:r>
      <w:proofErr w:type="spellEnd"/>
      <w:r w:rsidRPr="009A7F81">
        <w:rPr>
          <w:color w:val="000000"/>
          <w:sz w:val="28"/>
          <w:szCs w:val="28"/>
          <w:lang w:val="kk-KZ"/>
        </w:rPr>
        <w:t xml:space="preserve"> </w:t>
      </w:r>
      <w:proofErr w:type="spellStart"/>
      <w:r w:rsidRPr="009A7F81">
        <w:rPr>
          <w:color w:val="000000"/>
          <w:sz w:val="28"/>
          <w:szCs w:val="28"/>
          <w:lang w:val="kk-KZ"/>
        </w:rPr>
        <w:t>presented</w:t>
      </w:r>
      <w:proofErr w:type="spellEnd"/>
      <w:r w:rsidRPr="009A7F81">
        <w:rPr>
          <w:color w:val="000000"/>
          <w:sz w:val="28"/>
          <w:szCs w:val="28"/>
          <w:lang w:val="kk-KZ"/>
        </w:rPr>
        <w:t xml:space="preserve"> </w:t>
      </w:r>
      <w:proofErr w:type="spellStart"/>
      <w:r w:rsidRPr="009A7F81">
        <w:rPr>
          <w:color w:val="000000"/>
          <w:sz w:val="28"/>
          <w:szCs w:val="28"/>
          <w:lang w:val="kk-KZ"/>
        </w:rPr>
        <w:t>on</w:t>
      </w:r>
      <w:proofErr w:type="spellEnd"/>
      <w:r w:rsidRPr="009A7F81">
        <w:rPr>
          <w:color w:val="000000"/>
          <w:sz w:val="28"/>
          <w:szCs w:val="28"/>
          <w:lang w:val="kk-KZ"/>
        </w:rPr>
        <w:t xml:space="preserve"> 146 </w:t>
      </w:r>
      <w:proofErr w:type="spellStart"/>
      <w:r w:rsidRPr="009A7F81">
        <w:rPr>
          <w:color w:val="000000"/>
          <w:sz w:val="28"/>
          <w:szCs w:val="28"/>
          <w:lang w:val="kk-KZ"/>
        </w:rPr>
        <w:t>pages</w:t>
      </w:r>
      <w:proofErr w:type="spellEnd"/>
      <w:r w:rsidRPr="009A7F81">
        <w:rPr>
          <w:color w:val="000000"/>
          <w:sz w:val="28"/>
          <w:szCs w:val="28"/>
          <w:lang w:val="kk-KZ"/>
        </w:rPr>
        <w:t xml:space="preserve"> </w:t>
      </w:r>
      <w:proofErr w:type="spellStart"/>
      <w:r w:rsidRPr="009A7F81">
        <w:rPr>
          <w:color w:val="000000"/>
          <w:sz w:val="28"/>
          <w:szCs w:val="28"/>
          <w:lang w:val="kk-KZ"/>
        </w:rPr>
        <w:t>of</w:t>
      </w:r>
      <w:proofErr w:type="spellEnd"/>
      <w:r w:rsidRPr="009A7F81">
        <w:rPr>
          <w:color w:val="000000"/>
          <w:sz w:val="28"/>
          <w:szCs w:val="28"/>
          <w:lang w:val="kk-KZ"/>
        </w:rPr>
        <w:t xml:space="preserve"> </w:t>
      </w:r>
      <w:proofErr w:type="spellStart"/>
      <w:r w:rsidRPr="009A7F81">
        <w:rPr>
          <w:color w:val="000000"/>
          <w:sz w:val="28"/>
          <w:szCs w:val="28"/>
          <w:lang w:val="kk-KZ"/>
        </w:rPr>
        <w:t>typed</w:t>
      </w:r>
      <w:proofErr w:type="spellEnd"/>
      <w:r w:rsidRPr="009A7F81">
        <w:rPr>
          <w:color w:val="000000"/>
          <w:sz w:val="28"/>
          <w:szCs w:val="28"/>
          <w:lang w:val="kk-KZ"/>
        </w:rPr>
        <w:t xml:space="preserve"> </w:t>
      </w:r>
      <w:proofErr w:type="spellStart"/>
      <w:r w:rsidRPr="009A7F81">
        <w:rPr>
          <w:color w:val="000000"/>
          <w:sz w:val="28"/>
          <w:szCs w:val="28"/>
          <w:lang w:val="kk-KZ"/>
        </w:rPr>
        <w:t>manuscript</w:t>
      </w:r>
      <w:proofErr w:type="spellEnd"/>
      <w:r w:rsidRPr="009A7F81">
        <w:rPr>
          <w:color w:val="000000"/>
          <w:sz w:val="28"/>
          <w:szCs w:val="28"/>
          <w:lang w:val="kk-KZ"/>
        </w:rPr>
        <w:t xml:space="preserve"> </w:t>
      </w:r>
      <w:proofErr w:type="spellStart"/>
      <w:r w:rsidRPr="009A7F81">
        <w:rPr>
          <w:color w:val="000000"/>
          <w:sz w:val="28"/>
          <w:szCs w:val="28"/>
          <w:lang w:val="kk-KZ"/>
        </w:rPr>
        <w:t>and</w:t>
      </w:r>
      <w:proofErr w:type="spellEnd"/>
      <w:r w:rsidRPr="009A7F81">
        <w:rPr>
          <w:color w:val="000000"/>
          <w:sz w:val="28"/>
          <w:szCs w:val="28"/>
          <w:lang w:val="kk-KZ"/>
        </w:rPr>
        <w:t xml:space="preserve"> </w:t>
      </w:r>
      <w:proofErr w:type="spellStart"/>
      <w:r w:rsidRPr="009A7F81">
        <w:rPr>
          <w:color w:val="000000"/>
          <w:sz w:val="28"/>
          <w:szCs w:val="28"/>
          <w:lang w:val="kk-KZ"/>
        </w:rPr>
        <w:t>includes</w:t>
      </w:r>
      <w:proofErr w:type="spellEnd"/>
      <w:r w:rsidRPr="009A7F81">
        <w:rPr>
          <w:color w:val="000000"/>
          <w:sz w:val="28"/>
          <w:szCs w:val="28"/>
          <w:lang w:val="kk-KZ"/>
        </w:rPr>
        <w:t xml:space="preserve"> 9 </w:t>
      </w:r>
      <w:proofErr w:type="spellStart"/>
      <w:r w:rsidRPr="009A7F81">
        <w:rPr>
          <w:color w:val="000000"/>
          <w:sz w:val="28"/>
          <w:szCs w:val="28"/>
          <w:lang w:val="kk-KZ"/>
        </w:rPr>
        <w:t>appendices</w:t>
      </w:r>
      <w:proofErr w:type="spellEnd"/>
      <w:r w:rsidRPr="009A7F81">
        <w:rPr>
          <w:color w:val="000000"/>
          <w:sz w:val="28"/>
          <w:szCs w:val="28"/>
          <w:lang w:val="kk-KZ"/>
        </w:rPr>
        <w:t xml:space="preserve">, 7 </w:t>
      </w:r>
      <w:proofErr w:type="spellStart"/>
      <w:r w:rsidRPr="009A7F81">
        <w:rPr>
          <w:color w:val="000000"/>
          <w:sz w:val="28"/>
          <w:szCs w:val="28"/>
          <w:lang w:val="kk-KZ"/>
        </w:rPr>
        <w:t>tables</w:t>
      </w:r>
      <w:proofErr w:type="spellEnd"/>
      <w:r w:rsidRPr="009A7F81">
        <w:rPr>
          <w:color w:val="000000"/>
          <w:sz w:val="28"/>
          <w:szCs w:val="28"/>
          <w:lang w:val="kk-KZ"/>
        </w:rPr>
        <w:t xml:space="preserve">, </w:t>
      </w:r>
      <w:proofErr w:type="spellStart"/>
      <w:r w:rsidRPr="009A7F81">
        <w:rPr>
          <w:color w:val="000000"/>
          <w:sz w:val="28"/>
          <w:szCs w:val="28"/>
          <w:lang w:val="kk-KZ"/>
        </w:rPr>
        <w:t>and</w:t>
      </w:r>
      <w:proofErr w:type="spellEnd"/>
      <w:r w:rsidRPr="009A7F81">
        <w:rPr>
          <w:color w:val="000000"/>
          <w:sz w:val="28"/>
          <w:szCs w:val="28"/>
          <w:lang w:val="kk-KZ"/>
        </w:rPr>
        <w:t xml:space="preserve"> 40 </w:t>
      </w:r>
      <w:proofErr w:type="spellStart"/>
      <w:r w:rsidRPr="009A7F81">
        <w:rPr>
          <w:color w:val="000000"/>
          <w:sz w:val="28"/>
          <w:szCs w:val="28"/>
          <w:lang w:val="kk-KZ"/>
        </w:rPr>
        <w:t>figures</w:t>
      </w:r>
      <w:proofErr w:type="spellEnd"/>
      <w:r w:rsidRPr="009A7F81">
        <w:rPr>
          <w:color w:val="000000"/>
          <w:sz w:val="28"/>
          <w:szCs w:val="28"/>
          <w:lang w:val="kk-KZ"/>
        </w:rPr>
        <w:t>.</w:t>
      </w:r>
    </w:p>
    <w:p w14:paraId="6539B4AD" w14:textId="77777777" w:rsidR="00A54905" w:rsidRDefault="00A54905" w:rsidP="00A54905">
      <w:pPr>
        <w:ind w:firstLine="709"/>
        <w:jc w:val="both"/>
        <w:rPr>
          <w:b/>
          <w:bCs/>
          <w:color w:val="000000"/>
          <w:sz w:val="28"/>
          <w:szCs w:val="28"/>
          <w:lang w:val="kk-KZ"/>
        </w:rPr>
      </w:pPr>
    </w:p>
    <w:p w14:paraId="71D55073" w14:textId="77777777" w:rsidR="00A54905" w:rsidRDefault="00A54905" w:rsidP="00A54905">
      <w:pPr>
        <w:ind w:firstLine="709"/>
        <w:jc w:val="both"/>
        <w:rPr>
          <w:b/>
          <w:bCs/>
          <w:color w:val="000000"/>
          <w:sz w:val="28"/>
          <w:szCs w:val="28"/>
          <w:lang w:val="kk-KZ"/>
        </w:rPr>
      </w:pPr>
    </w:p>
    <w:p w14:paraId="1F7C326E" w14:textId="77777777" w:rsidR="00A54905" w:rsidRDefault="00A54905" w:rsidP="00A54905">
      <w:pPr>
        <w:ind w:firstLine="709"/>
        <w:jc w:val="both"/>
        <w:rPr>
          <w:b/>
          <w:bCs/>
          <w:color w:val="000000"/>
          <w:sz w:val="28"/>
          <w:szCs w:val="28"/>
          <w:lang w:val="kk-KZ"/>
        </w:rPr>
      </w:pPr>
    </w:p>
    <w:p w14:paraId="7AA77A1A" w14:textId="77777777" w:rsidR="00A54905" w:rsidRDefault="00A54905" w:rsidP="00A54905">
      <w:pPr>
        <w:ind w:firstLine="709"/>
        <w:jc w:val="both"/>
        <w:rPr>
          <w:b/>
          <w:bCs/>
          <w:color w:val="000000"/>
          <w:sz w:val="28"/>
          <w:szCs w:val="28"/>
          <w:lang w:val="kk-KZ"/>
        </w:rPr>
      </w:pPr>
    </w:p>
    <w:p w14:paraId="060436FA" w14:textId="77777777" w:rsidR="00A54905" w:rsidRDefault="00A54905" w:rsidP="00A54905">
      <w:pPr>
        <w:ind w:firstLine="709"/>
        <w:jc w:val="both"/>
        <w:rPr>
          <w:b/>
          <w:bCs/>
          <w:color w:val="000000"/>
          <w:sz w:val="28"/>
          <w:szCs w:val="28"/>
          <w:lang w:val="kk-KZ"/>
        </w:rPr>
      </w:pPr>
    </w:p>
    <w:p w14:paraId="6ABDCE4A" w14:textId="77777777" w:rsidR="00A54905" w:rsidRDefault="00A54905" w:rsidP="00A54905">
      <w:pPr>
        <w:ind w:firstLine="709"/>
        <w:jc w:val="both"/>
        <w:rPr>
          <w:b/>
          <w:bCs/>
          <w:color w:val="000000"/>
          <w:sz w:val="28"/>
          <w:szCs w:val="28"/>
          <w:lang w:val="kk-KZ"/>
        </w:rPr>
      </w:pPr>
    </w:p>
    <w:p w14:paraId="0E9FD2F0" w14:textId="77777777" w:rsidR="00A54905" w:rsidRDefault="00A54905" w:rsidP="00A54905">
      <w:pPr>
        <w:ind w:firstLine="709"/>
        <w:jc w:val="both"/>
        <w:rPr>
          <w:b/>
          <w:bCs/>
          <w:color w:val="000000"/>
          <w:sz w:val="28"/>
          <w:szCs w:val="28"/>
          <w:lang w:val="kk-KZ"/>
        </w:rPr>
      </w:pPr>
    </w:p>
    <w:p w14:paraId="246C03CD" w14:textId="77777777" w:rsidR="00A54905" w:rsidRDefault="00A54905" w:rsidP="00A54905">
      <w:pPr>
        <w:ind w:firstLine="709"/>
        <w:jc w:val="both"/>
        <w:rPr>
          <w:b/>
          <w:bCs/>
          <w:color w:val="000000"/>
          <w:sz w:val="28"/>
          <w:szCs w:val="28"/>
          <w:lang w:val="kk-KZ"/>
        </w:rPr>
      </w:pPr>
    </w:p>
    <w:p w14:paraId="5EDA954E" w14:textId="77777777" w:rsidR="00A54905" w:rsidRDefault="00A54905" w:rsidP="00A54905">
      <w:pPr>
        <w:ind w:firstLine="709"/>
        <w:jc w:val="both"/>
        <w:rPr>
          <w:b/>
          <w:bCs/>
          <w:color w:val="000000"/>
          <w:sz w:val="28"/>
          <w:szCs w:val="28"/>
          <w:lang w:val="kk-KZ"/>
        </w:rPr>
      </w:pPr>
    </w:p>
    <w:p w14:paraId="0D5E2F0E" w14:textId="77777777" w:rsidR="00A54905" w:rsidRDefault="00A54905" w:rsidP="00382839">
      <w:pPr>
        <w:jc w:val="both"/>
        <w:rPr>
          <w:b/>
          <w:bCs/>
          <w:color w:val="000000"/>
          <w:sz w:val="28"/>
          <w:szCs w:val="28"/>
          <w:lang w:val="kk-KZ"/>
        </w:rPr>
      </w:pPr>
    </w:p>
    <w:p w14:paraId="713FF19E" w14:textId="77777777" w:rsidR="00A54905" w:rsidRDefault="00A54905" w:rsidP="00A54905">
      <w:pPr>
        <w:ind w:firstLine="709"/>
        <w:jc w:val="both"/>
        <w:rPr>
          <w:b/>
          <w:bCs/>
          <w:color w:val="000000"/>
          <w:sz w:val="28"/>
          <w:szCs w:val="28"/>
          <w:lang w:val="kk-KZ"/>
        </w:rPr>
      </w:pPr>
    </w:p>
    <w:p w14:paraId="3D2529D1" w14:textId="77777777" w:rsidR="00177AA7" w:rsidRPr="00A54905" w:rsidRDefault="00177AA7" w:rsidP="00177AA7">
      <w:pPr>
        <w:ind w:firstLine="709"/>
        <w:jc w:val="both"/>
        <w:rPr>
          <w:b/>
          <w:color w:val="000000"/>
          <w:sz w:val="28"/>
          <w:szCs w:val="28"/>
          <w:lang w:val="ru-KZ"/>
        </w:rPr>
      </w:pPr>
      <w:r w:rsidRPr="00A54905">
        <w:rPr>
          <w:b/>
          <w:color w:val="000000"/>
          <w:sz w:val="28"/>
          <w:szCs w:val="28"/>
          <w:lang w:val="ru-KZ"/>
        </w:rPr>
        <w:t>Modeling of chronic osteomyelitis in rabbits</w:t>
      </w:r>
    </w:p>
    <w:p w14:paraId="73106A4A" w14:textId="0DCC8EB1" w:rsidR="009A7F81" w:rsidRPr="009A7F81" w:rsidRDefault="009A7F81" w:rsidP="009A7F81">
      <w:pPr>
        <w:ind w:firstLine="709"/>
        <w:jc w:val="both"/>
        <w:rPr>
          <w:bCs/>
          <w:color w:val="000000"/>
          <w:sz w:val="28"/>
          <w:szCs w:val="28"/>
          <w:lang w:val="ru-KZ"/>
        </w:rPr>
      </w:pPr>
      <w:r w:rsidRPr="009A7F81">
        <w:rPr>
          <w:bCs/>
          <w:color w:val="000000"/>
          <w:sz w:val="28"/>
          <w:szCs w:val="28"/>
          <w:lang w:val="ru-KZ"/>
        </w:rPr>
        <w:t>Modeling Chronic Osteomyelitis in Rabbits</w:t>
      </w:r>
    </w:p>
    <w:p w14:paraId="103AAB5E" w14:textId="13ED924E" w:rsidR="009A7F81" w:rsidRPr="009A7F81" w:rsidRDefault="009A7F81" w:rsidP="009A7F81">
      <w:pPr>
        <w:ind w:firstLine="709"/>
        <w:jc w:val="both"/>
        <w:rPr>
          <w:bCs/>
          <w:color w:val="000000"/>
          <w:sz w:val="28"/>
          <w:szCs w:val="28"/>
          <w:lang w:val="ru-KZ"/>
        </w:rPr>
      </w:pPr>
      <w:r w:rsidRPr="009A7F81">
        <w:rPr>
          <w:bCs/>
          <w:color w:val="000000"/>
          <w:sz w:val="28"/>
          <w:szCs w:val="28"/>
          <w:lang w:val="ru-KZ"/>
        </w:rPr>
        <w:t>To reproduce a model of chronic osteomyelitis, scientific studies had previously been conducted at the Department of Surgical Diseases [23]. Rabbits were selected as the experimental model because, in terms of bone mineral density and fracture toughness, their bone tissue is comparable to that of humans, making this species an appropriate subject for modeling bone infection. The aim of this stage was to develop a reproducible model of chronic osteomyelitis in mature rabbits with the formation of a uniform pathological process. Based on the analysis of literature data and previously described experimental approaches, an original model of chronic osteomyelitis was developed, tested in a series of experiments, and protected by an author’s certificate (Appendix B of the dissertation).</w:t>
      </w:r>
    </w:p>
    <w:p w14:paraId="7DB3ED98" w14:textId="35CCFC08" w:rsidR="009A7F81" w:rsidRDefault="009A7F81" w:rsidP="009A7F81">
      <w:pPr>
        <w:ind w:firstLine="709"/>
        <w:jc w:val="both"/>
        <w:rPr>
          <w:bCs/>
          <w:color w:val="000000"/>
          <w:sz w:val="28"/>
          <w:szCs w:val="28"/>
          <w:lang w:val="ru-KZ"/>
        </w:rPr>
      </w:pPr>
      <w:r w:rsidRPr="009A7F81">
        <w:rPr>
          <w:bCs/>
          <w:color w:val="000000"/>
          <w:sz w:val="28"/>
          <w:szCs w:val="28"/>
          <w:lang w:val="ru-KZ"/>
        </w:rPr>
        <w:t>At the clinical base of the Department of Surgical Diseases of NCJSC “KMU,” in the Department of Combustiology and Purulent Traumatology of the Multidisciplinary Hospital named after Prof. Kh. Zh. Makazhanov (Karaganda, Republic of Kazakhstan), an analysis of the microbial landscape of chronic osteomyelitis had previously been conducted [24]. According to the results of this study, Staphylococcus aureus (S. aureus) was identified as the primary pathogen for modeling the infectious process. The choice of strain was justified by the results of the analysis of the microbial spectrum and antibiotic susceptibility profiles of 220 patients with chronic osteomyelitis treated at the specified clinic. It was established that the leading pathogens were Gram-positive microorganisms, among which S. aureus was isolated in 61% of cases. Analysis of antibiotic susceptibility showed the highest sensitivity of pathogens to third-generation cephalosporins, aminoglycosides, glycopeptides, and fluoroquinolones, with sensitivity to gentamicin reaching 84%. Gentamicin was selected as the antimicrobial agent, also due to its thermal stability during processing of the impregnated graft in the Lobator sd-2 device.</w:t>
      </w:r>
    </w:p>
    <w:p w14:paraId="701946D4" w14:textId="269B1391" w:rsidR="00D96E93" w:rsidRPr="00D96E93" w:rsidRDefault="00D96E93" w:rsidP="00D96E93">
      <w:pPr>
        <w:ind w:firstLine="709"/>
        <w:jc w:val="both"/>
        <w:rPr>
          <w:bCs/>
          <w:color w:val="000000"/>
          <w:sz w:val="28"/>
          <w:szCs w:val="28"/>
          <w:lang w:val="en-US"/>
        </w:rPr>
      </w:pPr>
      <w:r w:rsidRPr="00D96E93">
        <w:rPr>
          <w:bCs/>
          <w:color w:val="000000"/>
          <w:sz w:val="28"/>
          <w:szCs w:val="28"/>
          <w:lang w:val="en-US"/>
        </w:rPr>
        <w:t xml:space="preserve">To induce osteomyelitis in rabbits, an inoculum of the laboratory strain of S. aureus (ATCC 43300) with a turbidity of 3 McFarland units was used. In addition, a group of authors conducted microbiological and histological studies to evaluate the effectiveness of </w:t>
      </w:r>
      <w:proofErr w:type="spellStart"/>
      <w:r w:rsidRPr="00D96E93">
        <w:rPr>
          <w:bCs/>
          <w:color w:val="000000"/>
          <w:sz w:val="28"/>
          <w:szCs w:val="28"/>
          <w:lang w:val="en-US"/>
        </w:rPr>
        <w:t>PerOssal</w:t>
      </w:r>
      <w:proofErr w:type="spellEnd"/>
      <w:r w:rsidRPr="00D96E93">
        <w:rPr>
          <w:bCs/>
          <w:color w:val="000000"/>
          <w:sz w:val="28"/>
          <w:szCs w:val="28"/>
          <w:lang w:val="en-US"/>
        </w:rPr>
        <w:t xml:space="preserve">® [24]. It was found that the biodegradable material </w:t>
      </w:r>
      <w:proofErr w:type="spellStart"/>
      <w:r w:rsidRPr="00D96E93">
        <w:rPr>
          <w:bCs/>
          <w:color w:val="000000"/>
          <w:sz w:val="28"/>
          <w:szCs w:val="28"/>
          <w:lang w:val="en-US"/>
        </w:rPr>
        <w:t>PerOssal</w:t>
      </w:r>
      <w:proofErr w:type="spellEnd"/>
      <w:r w:rsidRPr="00D96E93">
        <w:rPr>
          <w:bCs/>
          <w:color w:val="000000"/>
          <w:sz w:val="28"/>
          <w:szCs w:val="28"/>
          <w:lang w:val="en-US"/>
        </w:rPr>
        <w:t>®, impregnated with an antibiotic, exhibited antibacterial activity against Gram-positive microorganisms, with significantly greater activity against S. aureus (p = 0.05).</w:t>
      </w:r>
    </w:p>
    <w:p w14:paraId="067E78B3" w14:textId="46D9A4FB" w:rsidR="00D96E93" w:rsidRPr="00D96E93" w:rsidRDefault="00D96E93" w:rsidP="00D96E93">
      <w:pPr>
        <w:ind w:firstLine="709"/>
        <w:jc w:val="both"/>
        <w:rPr>
          <w:bCs/>
          <w:color w:val="000000"/>
          <w:sz w:val="28"/>
          <w:szCs w:val="28"/>
          <w:lang w:val="en-US"/>
        </w:rPr>
      </w:pPr>
      <w:r w:rsidRPr="00D96E93">
        <w:rPr>
          <w:bCs/>
          <w:color w:val="000000"/>
          <w:sz w:val="28"/>
          <w:szCs w:val="28"/>
          <w:lang w:val="en-US"/>
        </w:rPr>
        <w:t xml:space="preserve">Surgical modeling of chronic osteomyelitis was performed under aseptic conditions. In the projection of the distal femoral </w:t>
      </w:r>
      <w:proofErr w:type="spellStart"/>
      <w:r w:rsidRPr="00D96E93">
        <w:rPr>
          <w:bCs/>
          <w:color w:val="000000"/>
          <w:sz w:val="28"/>
          <w:szCs w:val="28"/>
          <w:lang w:val="en-US"/>
        </w:rPr>
        <w:t>metaepiphysis</w:t>
      </w:r>
      <w:proofErr w:type="spellEnd"/>
      <w:r w:rsidRPr="00D96E93">
        <w:rPr>
          <w:bCs/>
          <w:color w:val="000000"/>
          <w:sz w:val="28"/>
          <w:szCs w:val="28"/>
          <w:lang w:val="en-US"/>
        </w:rPr>
        <w:t>, a skin incision up to 2 cm in length was made, followed by layer-by-layer dissection to expose the lower third of the femur. A 3.0 mm hole was drilled in the bone. Then, a piece of sterile cotton soaked in 0.2 ml of the prepared medium containing S. aureus culture was placed into the drilled hole. Within 14 days following the procedure, a chronic osteomyelitis model developed in all animals.</w:t>
      </w:r>
    </w:p>
    <w:p w14:paraId="537E0C7A" w14:textId="6B5F6CB1" w:rsidR="00D96E93" w:rsidRPr="00D96E93" w:rsidRDefault="00D96E93" w:rsidP="00D96E93">
      <w:pPr>
        <w:ind w:firstLine="709"/>
        <w:jc w:val="both"/>
        <w:rPr>
          <w:bCs/>
          <w:color w:val="000000"/>
          <w:sz w:val="28"/>
          <w:szCs w:val="28"/>
          <w:lang w:val="en-US"/>
        </w:rPr>
      </w:pPr>
      <w:r w:rsidRPr="00D96E93">
        <w:rPr>
          <w:bCs/>
          <w:color w:val="000000"/>
          <w:sz w:val="28"/>
          <w:szCs w:val="28"/>
          <w:lang w:val="en-US"/>
        </w:rPr>
        <w:t xml:space="preserve">After surgery, osteomyelitis was successfully induced in all 40 rabbits using the developed method. On day 14, all animals underwent X-ray examination to assess the development of the pathological process, followed by calculation of the total </w:t>
      </w:r>
      <w:r w:rsidRPr="00D96E93">
        <w:rPr>
          <w:bCs/>
          <w:color w:val="000000"/>
          <w:sz w:val="28"/>
          <w:szCs w:val="28"/>
          <w:lang w:val="en-US"/>
        </w:rPr>
        <w:lastRenderedPageBreak/>
        <w:t>radiographic score ranging from 0 to 12.</w:t>
      </w:r>
    </w:p>
    <w:p w14:paraId="28413A0A" w14:textId="1597608B" w:rsidR="00D96E93" w:rsidRPr="00D96E93" w:rsidRDefault="00D96E93" w:rsidP="00D96E93">
      <w:pPr>
        <w:ind w:firstLine="709"/>
        <w:jc w:val="both"/>
        <w:rPr>
          <w:bCs/>
          <w:color w:val="000000"/>
          <w:sz w:val="28"/>
          <w:szCs w:val="28"/>
          <w:lang w:val="en-US"/>
        </w:rPr>
      </w:pPr>
      <w:r w:rsidRPr="00D96E93">
        <w:rPr>
          <w:bCs/>
          <w:color w:val="000000"/>
          <w:sz w:val="28"/>
          <w:szCs w:val="28"/>
          <w:lang w:val="en-US"/>
        </w:rPr>
        <w:t>Radiographic changes were evaluated using the scale proposed by C. L. Kelly et al. [25], developed for experimental models of osteomyelitis in laboratory animals. This scale includes four parameters: osteolysis, periosteal reaction, sequestration, and soft tissue changes. Each parameter was scored from 0 to 3, with a total score ranging from 0 to 12. The results were interpreted as follows: 0 points – no signs; 1 point – minimal changes that may occur after surgery and do not confirm infection; 2 points – moderate pathological changes; 3 points – pronounced pathological signs. A score of 3 points in at least one parameter was sufficient to establish the diagnosis of osteomyelitis, regardless of other indicators.</w:t>
      </w:r>
    </w:p>
    <w:p w14:paraId="1F70F392" w14:textId="695C50DF" w:rsidR="00177AA7" w:rsidRPr="00A40587" w:rsidRDefault="00D96E93" w:rsidP="00D96E93">
      <w:pPr>
        <w:ind w:firstLine="709"/>
        <w:jc w:val="both"/>
        <w:rPr>
          <w:bCs/>
          <w:color w:val="000000"/>
          <w:sz w:val="28"/>
          <w:szCs w:val="28"/>
          <w:lang w:val="en-US"/>
        </w:rPr>
      </w:pPr>
      <w:r w:rsidRPr="00D96E93">
        <w:rPr>
          <w:bCs/>
          <w:color w:val="000000"/>
          <w:sz w:val="28"/>
          <w:szCs w:val="28"/>
          <w:lang w:val="en-US"/>
        </w:rPr>
        <w:t>Radiographic evaluation confirmed the development of chronic osteomyelitis in all experimental animals. Most animals demonstrated total scores exceeding the threshold value of 3 points, corresponding to the minimum level indicative of osteomyelitis (Figure 2). The position of the median values and interquartile ranges above this threshold indicated stable reproducibility of the model. Thus, radiographic findings confirmed the successful establishment of a chronic osteomyelitis model in all rabbits using the developed method (Appendix B of the Dissertation).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77AA7" w:rsidRPr="005267E2" w14:paraId="2EB9F216" w14:textId="77777777" w:rsidTr="003476D9">
        <w:trPr>
          <w:trHeight w:val="3858"/>
        </w:trPr>
        <w:tc>
          <w:tcPr>
            <w:tcW w:w="9628" w:type="dxa"/>
          </w:tcPr>
          <w:p w14:paraId="4B3CE93A" w14:textId="77777777" w:rsidR="00177AA7" w:rsidRDefault="00177AA7" w:rsidP="00F55C1D">
            <w:pPr>
              <w:widowControl w:val="0"/>
              <w:ind w:firstLine="709"/>
              <w:jc w:val="center"/>
              <w:rPr>
                <w:noProof/>
                <w:sz w:val="28"/>
                <w:szCs w:val="28"/>
              </w:rPr>
            </w:pPr>
            <w:r w:rsidRPr="00A54905">
              <w:rPr>
                <w:noProof/>
                <w:sz w:val="28"/>
                <w:szCs w:val="28"/>
                <w:lang w:eastAsia="ru-RU"/>
              </w:rPr>
              <w:drawing>
                <wp:inline distT="0" distB="0" distL="0" distR="0" wp14:anchorId="59A78B8A" wp14:editId="0BA119DB">
                  <wp:extent cx="2681868" cy="1604058"/>
                  <wp:effectExtent l="0" t="0" r="0" b="0"/>
                  <wp:docPr id="41"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04444" name="Рисунок 6202044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4375" cy="1653406"/>
                          </a:xfrm>
                          <a:prstGeom prst="rect">
                            <a:avLst/>
                          </a:prstGeom>
                        </pic:spPr>
                      </pic:pic>
                    </a:graphicData>
                  </a:graphic>
                </wp:inline>
              </w:drawing>
            </w:r>
          </w:p>
          <w:p w14:paraId="7ACC30F4" w14:textId="77777777" w:rsidR="00F55C1D" w:rsidRPr="00F55C1D" w:rsidRDefault="00F55C1D" w:rsidP="00F55C1D">
            <w:pP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tblGrid>
            <w:tr w:rsidR="00F55C1D" w:rsidRPr="005267E2" w14:paraId="5335FA49" w14:textId="77777777" w:rsidTr="003476D9">
              <w:tc>
                <w:tcPr>
                  <w:tcW w:w="9628" w:type="dxa"/>
                </w:tcPr>
                <w:p w14:paraId="067F0D82" w14:textId="3B490AB2" w:rsidR="00F55C1D" w:rsidRPr="00B90F53" w:rsidRDefault="00F55C1D" w:rsidP="00F55C1D">
                  <w:pPr>
                    <w:widowControl w:val="0"/>
                    <w:rPr>
                      <w:bCs/>
                      <w:color w:val="000000"/>
                      <w:sz w:val="24"/>
                      <w:szCs w:val="24"/>
                      <w:lang w:val="en-US"/>
                    </w:rPr>
                  </w:pPr>
                  <w:r w:rsidRPr="00B90F53">
                    <w:rPr>
                      <w:bCs/>
                      <w:color w:val="000000"/>
                      <w:sz w:val="24"/>
                      <w:szCs w:val="24"/>
                      <w:lang w:val="en-US"/>
                    </w:rPr>
                    <w:t xml:space="preserve">Figure 1-Total X-ray data (scores) for assessing 4 signs (osteolysis, periosteal reaction, sequestration, soft tissue changes) for groups of </w:t>
                  </w:r>
                  <w:proofErr w:type="gramStart"/>
                  <w:r w:rsidRPr="00B90F53">
                    <w:rPr>
                      <w:bCs/>
                      <w:color w:val="000000"/>
                      <w:sz w:val="24"/>
                      <w:szCs w:val="24"/>
                      <w:lang w:val="en-US"/>
                    </w:rPr>
                    <w:t>rabbits(</w:t>
                  </w:r>
                  <w:bookmarkStart w:id="2" w:name="_Hlk223529772"/>
                  <w:proofErr w:type="spellStart"/>
                  <w:proofErr w:type="gramEnd"/>
                  <w:r w:rsidRPr="00B90F53">
                    <w:rPr>
                      <w:bCs/>
                      <w:color w:val="000000"/>
                      <w:sz w:val="24"/>
                      <w:szCs w:val="24"/>
                      <w:lang w:val="en-US"/>
                    </w:rPr>
                    <w:t>PerOssal</w:t>
                  </w:r>
                  <w:proofErr w:type="spellEnd"/>
                  <w:r w:rsidRPr="00B90F53">
                    <w:rPr>
                      <w:bCs/>
                      <w:color w:val="000000"/>
                      <w:sz w:val="24"/>
                      <w:szCs w:val="24"/>
                      <w:vertAlign w:val="superscript"/>
                      <w:lang w:val="en-US"/>
                    </w:rPr>
                    <w:t>®</w:t>
                  </w:r>
                  <w:r w:rsidRPr="00B90F53">
                    <w:rPr>
                      <w:bCs/>
                      <w:color w:val="000000"/>
                      <w:sz w:val="24"/>
                      <w:szCs w:val="24"/>
                      <w:lang w:val="en-US"/>
                    </w:rPr>
                    <w:t xml:space="preserve"> </w:t>
                  </w:r>
                  <w:bookmarkEnd w:id="2"/>
                  <w:r w:rsidRPr="00B90F53">
                    <w:rPr>
                      <w:bCs/>
                      <w:color w:val="000000"/>
                      <w:sz w:val="24"/>
                      <w:szCs w:val="24"/>
                      <w:lang w:val="en-US"/>
                    </w:rPr>
                    <w:t>and allograft</w:t>
                  </w:r>
                  <w:r w:rsidR="00601E4F">
                    <w:rPr>
                      <w:bCs/>
                      <w:color w:val="000000"/>
                      <w:sz w:val="24"/>
                      <w:szCs w:val="24"/>
                      <w:lang w:val="en-US"/>
                    </w:rPr>
                    <w:t xml:space="preserve"> ) </w:t>
                  </w:r>
                </w:p>
              </w:tc>
            </w:tr>
          </w:tbl>
          <w:p w14:paraId="58CF95FD" w14:textId="77777777" w:rsidR="00F55C1D" w:rsidRPr="00B90F53" w:rsidRDefault="00F55C1D" w:rsidP="00F55C1D">
            <w:pPr>
              <w:rPr>
                <w:sz w:val="28"/>
                <w:szCs w:val="28"/>
                <w:lang w:val="en-US"/>
              </w:rPr>
            </w:pPr>
          </w:p>
        </w:tc>
      </w:tr>
    </w:tbl>
    <w:p w14:paraId="726D2463" w14:textId="76F429DB" w:rsidR="00D96E93" w:rsidRPr="00601E4F" w:rsidRDefault="00601E4F" w:rsidP="00D96E93">
      <w:pPr>
        <w:jc w:val="both"/>
        <w:rPr>
          <w:b/>
          <w:bCs/>
          <w:color w:val="000000"/>
          <w:sz w:val="28"/>
          <w:szCs w:val="28"/>
          <w:lang w:val="en-US"/>
        </w:rPr>
      </w:pPr>
      <w:r>
        <w:rPr>
          <w:b/>
          <w:bCs/>
          <w:color w:val="000000"/>
          <w:sz w:val="28"/>
          <w:szCs w:val="28"/>
          <w:lang w:val="en-US"/>
        </w:rPr>
        <w:t xml:space="preserve">     </w:t>
      </w:r>
      <w:r w:rsidR="00D96E93" w:rsidRPr="00601E4F">
        <w:rPr>
          <w:b/>
          <w:bCs/>
          <w:color w:val="000000"/>
          <w:sz w:val="28"/>
          <w:szCs w:val="28"/>
          <w:lang w:val="en-US"/>
        </w:rPr>
        <w:t>Materials and Methods</w:t>
      </w:r>
    </w:p>
    <w:p w14:paraId="6019E6DE" w14:textId="30F447F7" w:rsidR="00D96E93" w:rsidRPr="00D96E93" w:rsidRDefault="00D96E93" w:rsidP="00D96E93">
      <w:pPr>
        <w:jc w:val="both"/>
        <w:rPr>
          <w:color w:val="000000"/>
          <w:sz w:val="28"/>
          <w:szCs w:val="28"/>
          <w:lang w:val="en-US"/>
        </w:rPr>
      </w:pPr>
      <w:r w:rsidRPr="00D96E93">
        <w:rPr>
          <w:color w:val="000000"/>
          <w:sz w:val="28"/>
          <w:szCs w:val="28"/>
          <w:lang w:val="en-US"/>
        </w:rPr>
        <w:t xml:space="preserve">     After establishing a model of chronic osteomyelitis in all animals, the second stage of the study was initiated. All animals were randomly divided into two groups of 20 each. Group 1 consisted of rabbits that, after surgical debridement of the infection site, received implantation of the synthetic osteoconductive resorbable bone substitute </w:t>
      </w:r>
      <w:proofErr w:type="spellStart"/>
      <w:r w:rsidRPr="00D96E93">
        <w:rPr>
          <w:color w:val="000000"/>
          <w:sz w:val="28"/>
          <w:szCs w:val="28"/>
          <w:lang w:val="en-US"/>
        </w:rPr>
        <w:t>PerOssal</w:t>
      </w:r>
      <w:proofErr w:type="spellEnd"/>
      <w:r w:rsidRPr="00D96E93">
        <w:rPr>
          <w:color w:val="000000"/>
          <w:sz w:val="28"/>
          <w:szCs w:val="28"/>
          <w:lang w:val="en-US"/>
        </w:rPr>
        <w:t xml:space="preserve">® loaded with gentamicin. Group 2 included animals that, following debridement of the infection focus, underwent implantation of a perforated bone allograft impregnated with an antibiotic using the original method developed by B. E. </w:t>
      </w:r>
      <w:proofErr w:type="spellStart"/>
      <w:r w:rsidRPr="00D96E93">
        <w:rPr>
          <w:color w:val="000000"/>
          <w:sz w:val="28"/>
          <w:szCs w:val="28"/>
          <w:lang w:val="en-US"/>
        </w:rPr>
        <w:t>Tuleubaev</w:t>
      </w:r>
      <w:proofErr w:type="spellEnd"/>
      <w:r w:rsidRPr="00D96E93">
        <w:rPr>
          <w:color w:val="000000"/>
          <w:sz w:val="28"/>
          <w:szCs w:val="28"/>
          <w:lang w:val="en-US"/>
        </w:rPr>
        <w:t xml:space="preserve"> et al. (Appendix G of the Dissertation).</w:t>
      </w:r>
    </w:p>
    <w:p w14:paraId="050CD452" w14:textId="02B80D1E" w:rsidR="00D96E93" w:rsidRPr="00D96E93" w:rsidRDefault="00D96E93" w:rsidP="00D96E93">
      <w:pPr>
        <w:jc w:val="both"/>
        <w:rPr>
          <w:color w:val="000000"/>
          <w:sz w:val="28"/>
          <w:szCs w:val="28"/>
          <w:lang w:val="en-US"/>
        </w:rPr>
      </w:pPr>
      <w:r w:rsidRPr="00D96E93">
        <w:rPr>
          <w:color w:val="000000"/>
          <w:sz w:val="28"/>
          <w:szCs w:val="28"/>
          <w:lang w:val="en-US"/>
        </w:rPr>
        <w:t xml:space="preserve">     For this stage of the study, femoral heads obtained from living donors (patients undergoing hip arthroplasty) were used in accordance with the regulatory framework of the Republic of Kazakhstan. Femoral heads with a diameter of 50–55 mm, without pronounced sclerosis or structural damage, were included in the experiment.</w:t>
      </w:r>
    </w:p>
    <w:p w14:paraId="453B14C5" w14:textId="32DB0351" w:rsidR="00D96E93" w:rsidRPr="00D96E93" w:rsidRDefault="00D96E93" w:rsidP="00D96E93">
      <w:pPr>
        <w:jc w:val="both"/>
        <w:rPr>
          <w:color w:val="000000"/>
          <w:sz w:val="28"/>
          <w:szCs w:val="28"/>
          <w:lang w:val="en-US"/>
        </w:rPr>
      </w:pPr>
      <w:r w:rsidRPr="00D96E93">
        <w:rPr>
          <w:color w:val="000000"/>
          <w:sz w:val="28"/>
          <w:szCs w:val="28"/>
          <w:lang w:val="en-US"/>
        </w:rPr>
        <w:t xml:space="preserve">     Bone allografts were perforated using a proprietary technique (Device for perforation of bone allograft, KZ Patent No. 3980, IPC A61M 31/00 (2006.01), dated May 17, 2019). Subsequently, thermal processing was performed using the “</w:t>
      </w:r>
      <w:proofErr w:type="spellStart"/>
      <w:r w:rsidRPr="00D96E93">
        <w:rPr>
          <w:color w:val="000000"/>
          <w:sz w:val="28"/>
          <w:szCs w:val="28"/>
          <w:lang w:val="en-US"/>
        </w:rPr>
        <w:t>Lobator</w:t>
      </w:r>
      <w:proofErr w:type="spellEnd"/>
      <w:r w:rsidRPr="00D96E93">
        <w:rPr>
          <w:color w:val="000000"/>
          <w:sz w:val="28"/>
          <w:szCs w:val="28"/>
          <w:lang w:val="en-US"/>
        </w:rPr>
        <w:t xml:space="preserve"> </w:t>
      </w:r>
      <w:r w:rsidRPr="00D96E93">
        <w:rPr>
          <w:color w:val="000000"/>
          <w:sz w:val="28"/>
          <w:szCs w:val="28"/>
          <w:lang w:val="en-US"/>
        </w:rPr>
        <w:lastRenderedPageBreak/>
        <w:t>sd-2” device in accordance with the manufacturer’s instructions.</w:t>
      </w:r>
    </w:p>
    <w:p w14:paraId="29CA128F" w14:textId="00F9BC53" w:rsidR="00D96E93" w:rsidRPr="00D96E93" w:rsidRDefault="00D96E93" w:rsidP="00D96E93">
      <w:pPr>
        <w:jc w:val="both"/>
        <w:rPr>
          <w:color w:val="000000"/>
          <w:sz w:val="28"/>
          <w:szCs w:val="28"/>
          <w:lang w:val="en-US"/>
        </w:rPr>
      </w:pPr>
      <w:r w:rsidRPr="00D96E93">
        <w:rPr>
          <w:color w:val="000000"/>
          <w:sz w:val="28"/>
          <w:szCs w:val="28"/>
          <w:lang w:val="en-US"/>
        </w:rPr>
        <w:t xml:space="preserve">     In both groups, daily clinical monitoring was carried out after implantation, including body temperature measurement and body weight assessment. Radiographic examination was performed in both groups before implantation and on days 14, 28, and 42. In experimental animals, gentamicin concentration was determined using high-performance liquid chromatography (HPLC) by collecting blood samples at 1, 3, and 6 hours after implantation surgery, as well as on days 1, 2, 5, 6, and 7.</w:t>
      </w:r>
    </w:p>
    <w:p w14:paraId="74F67F48" w14:textId="4B177D86" w:rsidR="00D96E93" w:rsidRPr="00D96E93" w:rsidRDefault="00D96E93" w:rsidP="00D96E93">
      <w:pPr>
        <w:jc w:val="both"/>
        <w:rPr>
          <w:color w:val="000000"/>
          <w:sz w:val="28"/>
          <w:szCs w:val="28"/>
          <w:lang w:val="en-US"/>
        </w:rPr>
      </w:pPr>
      <w:r w:rsidRPr="00D96E93">
        <w:rPr>
          <w:color w:val="000000"/>
          <w:sz w:val="28"/>
          <w:szCs w:val="28"/>
          <w:lang w:val="en-US"/>
        </w:rPr>
        <w:t xml:space="preserve">     On days 1, 2, 3, 6, and 7, soft tissues were excised in the region of the distal third of the femur in accordance with a standard operating procedure (SOP). Tissue sampling was performed under general anesthesia.</w:t>
      </w:r>
    </w:p>
    <w:p w14:paraId="2E891467" w14:textId="17440B33" w:rsidR="00CF41B7" w:rsidRDefault="00D96E93" w:rsidP="00D96E93">
      <w:pPr>
        <w:jc w:val="both"/>
        <w:rPr>
          <w:color w:val="000000"/>
          <w:sz w:val="28"/>
          <w:szCs w:val="28"/>
          <w:lang w:val="en-US"/>
        </w:rPr>
      </w:pPr>
      <w:r w:rsidRPr="00D96E93">
        <w:rPr>
          <w:color w:val="000000"/>
          <w:sz w:val="28"/>
          <w:szCs w:val="28"/>
          <w:lang w:val="en-US"/>
        </w:rPr>
        <w:t xml:space="preserve">     The experimental study was conducted on 40 sexually mature rabbits of both sexes, aged 4–5 months, with a body weight of 3000–3500 g. The selection of experimental animals was based on their anatomical and physiological characteristics: the structure and size of the rabbit femur allow for the creation of a bone defect followed by the development of osteomyelitis, while the bone volume and reparative potential enable observation of all stages of the pathological process. Standardization and representativeness of the study were ensured by selecting animals comparable in sex, age, and body weight.</w:t>
      </w:r>
    </w:p>
    <w:p w14:paraId="238BF4AD" w14:textId="259C69C7" w:rsidR="00D96E93" w:rsidRPr="00D96E93" w:rsidRDefault="00D96E93" w:rsidP="00D96E93">
      <w:pPr>
        <w:jc w:val="both"/>
        <w:rPr>
          <w:color w:val="000000"/>
          <w:sz w:val="28"/>
          <w:szCs w:val="28"/>
          <w:lang w:val="en-US"/>
        </w:rPr>
      </w:pPr>
      <w:r w:rsidRPr="00D96E93">
        <w:rPr>
          <w:color w:val="000000"/>
          <w:sz w:val="28"/>
          <w:szCs w:val="28"/>
          <w:lang w:val="en-US"/>
        </w:rPr>
        <w:t xml:space="preserve">     The animals were housed under standard vivarium conditions at a temperature of 18–22 °C with a 12/12-hour light–dark cycle. The study was conducted following approval by the local ethics committee based on the decision of the Bioethics Committee of the Karaganda State Medical University (Protocol No. 4 dated September 25, 2017, No. 13). All invasive procedures were performed in compliance with aseptic and antiseptic rules, as well as the principles of humane treatment of animals in accordance with the current regulatory requirements of the Republic of Kazakhstan.</w:t>
      </w:r>
    </w:p>
    <w:p w14:paraId="7F716D15" w14:textId="103DF17C" w:rsidR="00D96E93" w:rsidRPr="00D96E93" w:rsidRDefault="00D96E93" w:rsidP="00D96E93">
      <w:pPr>
        <w:jc w:val="both"/>
        <w:rPr>
          <w:color w:val="000000"/>
          <w:sz w:val="28"/>
          <w:szCs w:val="28"/>
          <w:lang w:val="en-US"/>
        </w:rPr>
      </w:pPr>
      <w:r w:rsidRPr="00D96E93">
        <w:rPr>
          <w:color w:val="000000"/>
          <w:sz w:val="28"/>
          <w:szCs w:val="28"/>
          <w:lang w:val="en-US"/>
        </w:rPr>
        <w:t xml:space="preserve">      All procedures were performed under general anesthesia using xylazine at a dose of 7 mg/kg intravenously in combination with ketamine at a dose of 35 mg/kg intramuscularly. Euthanasia of the animals was carried out at the end of the experiment by overdose of anesthetic agents in accordance with established regulatory guidelines.</w:t>
      </w:r>
    </w:p>
    <w:p w14:paraId="76ED1917" w14:textId="035030BC" w:rsidR="00D96E93" w:rsidRPr="00D96E93" w:rsidRDefault="00D96E93" w:rsidP="00D96E93">
      <w:pPr>
        <w:jc w:val="both"/>
        <w:rPr>
          <w:color w:val="000000"/>
          <w:sz w:val="28"/>
          <w:szCs w:val="28"/>
          <w:lang w:val="en-US"/>
        </w:rPr>
      </w:pPr>
      <w:r w:rsidRPr="00D96E93">
        <w:rPr>
          <w:color w:val="000000"/>
          <w:sz w:val="28"/>
          <w:szCs w:val="28"/>
          <w:lang w:val="en-US"/>
        </w:rPr>
        <w:t xml:space="preserve">     The study design included two stages. At the first stage, experimental modeling of chronic osteomyelitis was performed. At the second stage, after confirmation of the established model, all operated animals were randomized into two groups of 20 animals each depending on the surgical treatment strategy applied.</w:t>
      </w:r>
    </w:p>
    <w:p w14:paraId="72047D85" w14:textId="5FC06818" w:rsidR="00D96E93" w:rsidRPr="00D96E93" w:rsidRDefault="00D96E93" w:rsidP="00D96E93">
      <w:pPr>
        <w:jc w:val="both"/>
        <w:rPr>
          <w:color w:val="000000"/>
          <w:sz w:val="28"/>
          <w:szCs w:val="28"/>
          <w:lang w:val="en-US"/>
        </w:rPr>
      </w:pPr>
      <w:r w:rsidRPr="00D96E93">
        <w:rPr>
          <w:color w:val="000000"/>
          <w:sz w:val="28"/>
          <w:szCs w:val="28"/>
          <w:lang w:val="en-US"/>
        </w:rPr>
        <w:t xml:space="preserve">      In Group 1, after debridement of the infection site, the bone defect was filled using a synthetic osteoconductive resorbable bone substitute </w:t>
      </w:r>
      <w:proofErr w:type="spellStart"/>
      <w:r w:rsidRPr="00D96E93">
        <w:rPr>
          <w:color w:val="000000"/>
          <w:sz w:val="28"/>
          <w:szCs w:val="28"/>
          <w:lang w:val="en-US"/>
        </w:rPr>
        <w:t>PerOssal</w:t>
      </w:r>
      <w:proofErr w:type="spellEnd"/>
      <w:r w:rsidRPr="00D96E93">
        <w:rPr>
          <w:color w:val="000000"/>
          <w:sz w:val="28"/>
          <w:szCs w:val="28"/>
          <w:lang w:val="en-US"/>
        </w:rPr>
        <w:t xml:space="preserve">®, based on hydroxyapatite and calcium sulfate, impregnated with an antibiotic. In Group 2, after debridement of the infectious focus, a perforated bone allograft impregnated with an antibiotic using the original method developed by B. E. </w:t>
      </w:r>
      <w:proofErr w:type="spellStart"/>
      <w:r w:rsidRPr="00D96E93">
        <w:rPr>
          <w:color w:val="000000"/>
          <w:sz w:val="28"/>
          <w:szCs w:val="28"/>
          <w:lang w:val="en-US"/>
        </w:rPr>
        <w:t>Tuleubaev</w:t>
      </w:r>
      <w:proofErr w:type="spellEnd"/>
      <w:r w:rsidRPr="00D96E93">
        <w:rPr>
          <w:color w:val="000000"/>
          <w:sz w:val="28"/>
          <w:szCs w:val="28"/>
          <w:lang w:val="en-US"/>
        </w:rPr>
        <w:t xml:space="preserve"> et al. was implanted (Appendix G of the Dissertation).</w:t>
      </w:r>
    </w:p>
    <w:p w14:paraId="71D00B4F" w14:textId="7C92B8B4" w:rsidR="00D96E93" w:rsidRPr="00D96E93" w:rsidRDefault="00D96E93" w:rsidP="00D96E93">
      <w:pPr>
        <w:jc w:val="both"/>
        <w:rPr>
          <w:color w:val="000000"/>
          <w:sz w:val="28"/>
          <w:szCs w:val="28"/>
          <w:lang w:val="en-US"/>
        </w:rPr>
      </w:pPr>
      <w:r w:rsidRPr="00D96E93">
        <w:rPr>
          <w:color w:val="000000"/>
          <w:sz w:val="28"/>
          <w:szCs w:val="28"/>
          <w:lang w:val="en-US"/>
        </w:rPr>
        <w:t xml:space="preserve">     After clinical and radiological verification of the established chronic osteomyelitis model, a repeated surgical intervention was performed under general anesthesia. Following layer-by-layer incision of the skin and soft tissues in the projection of the infected bone, wound debridement, skeletonization of the femur, removal of damaged bone tissue, and subsequent defect reconstruction using the appropriate implant </w:t>
      </w:r>
      <w:r w:rsidRPr="00D96E93">
        <w:rPr>
          <w:color w:val="000000"/>
          <w:sz w:val="28"/>
          <w:szCs w:val="28"/>
          <w:lang w:val="en-US"/>
        </w:rPr>
        <w:lastRenderedPageBreak/>
        <w:t>material according to group allocation were performed.</w:t>
      </w:r>
    </w:p>
    <w:p w14:paraId="4C11F502" w14:textId="22526237" w:rsidR="00D96E93" w:rsidRPr="00D96E93" w:rsidRDefault="00D96E93" w:rsidP="00D96E93">
      <w:pPr>
        <w:jc w:val="both"/>
        <w:rPr>
          <w:color w:val="000000"/>
          <w:sz w:val="28"/>
          <w:szCs w:val="28"/>
          <w:lang w:val="en-US"/>
        </w:rPr>
      </w:pPr>
      <w:r w:rsidRPr="00D96E93">
        <w:rPr>
          <w:color w:val="000000"/>
          <w:sz w:val="28"/>
          <w:szCs w:val="28"/>
          <w:lang w:val="en-US"/>
        </w:rPr>
        <w:t xml:space="preserve">     For the second stage of the study, femoral heads obtained from living donors after hip arthroplasty were used as allogeneic material in accordance with the current legislation of the Republic of Kazakhstan. Femoral heads with a diameter of 50–55 mm without signs of pronounced sclerosis or mechanical damage were included. Bone allografts were perforated using the original technique, followed by thermal processing with the </w:t>
      </w:r>
      <w:proofErr w:type="spellStart"/>
      <w:r w:rsidRPr="00D96E93">
        <w:rPr>
          <w:color w:val="000000"/>
          <w:sz w:val="28"/>
          <w:szCs w:val="28"/>
          <w:lang w:val="en-US"/>
        </w:rPr>
        <w:t>Lobator</w:t>
      </w:r>
      <w:proofErr w:type="spellEnd"/>
      <w:r w:rsidRPr="00D96E93">
        <w:rPr>
          <w:color w:val="000000"/>
          <w:sz w:val="28"/>
          <w:szCs w:val="28"/>
          <w:lang w:val="en-US"/>
        </w:rPr>
        <w:t xml:space="preserve"> sd-2 device according to the manufacturer’s instructions.</w:t>
      </w:r>
    </w:p>
    <w:p w14:paraId="28EF5E34" w14:textId="5B75877B" w:rsidR="00D96E93" w:rsidRPr="00D96E93" w:rsidRDefault="00D96E93" w:rsidP="00D96E93">
      <w:pPr>
        <w:jc w:val="both"/>
        <w:rPr>
          <w:color w:val="000000"/>
          <w:sz w:val="28"/>
          <w:szCs w:val="28"/>
          <w:lang w:val="en-US"/>
        </w:rPr>
      </w:pPr>
      <w:r w:rsidRPr="00D96E93">
        <w:rPr>
          <w:color w:val="000000"/>
          <w:sz w:val="28"/>
          <w:szCs w:val="28"/>
          <w:lang w:val="en-US"/>
        </w:rPr>
        <w:t xml:space="preserve">    In both groups, daily clinical assessment of the animals was performed, including body temperature measurement and body weight monitoring. Radiological examination was carried out before surgery and on days 14, 28, and 42 after implantation.</w:t>
      </w:r>
    </w:p>
    <w:p w14:paraId="286E56EE" w14:textId="62A14042" w:rsidR="00D96E93" w:rsidRPr="00D96E93" w:rsidRDefault="00D96E93" w:rsidP="00D96E93">
      <w:pPr>
        <w:jc w:val="both"/>
        <w:rPr>
          <w:color w:val="000000"/>
          <w:sz w:val="28"/>
          <w:szCs w:val="28"/>
          <w:lang w:val="en-US"/>
        </w:rPr>
      </w:pPr>
      <w:r w:rsidRPr="00D96E93">
        <w:rPr>
          <w:color w:val="000000"/>
          <w:sz w:val="28"/>
          <w:szCs w:val="28"/>
          <w:lang w:val="en-US"/>
        </w:rPr>
        <w:t xml:space="preserve">    To evaluate the local and systemic pharmacokinetics of the antibiotic, gentamicin concentrations were determined using high-performance liquid chromatography (HPLC). Blood samples were collected at 1, 3, and 6 hours after surgery, as well as on days 1, 2, 5, 6, and 7 after implantation. Soft tissues in the region of the distal third of the femur were excised on days 1, 2, 3, 6, and 7 in accordance with a standard operating procedure; tissue sampling was performed under anesthesia. The study design is presented in Figure 2.</w:t>
      </w:r>
    </w:p>
    <w:p w14:paraId="432649DB" w14:textId="77777777" w:rsidR="000279C7" w:rsidRPr="00A54905" w:rsidRDefault="00A54905" w:rsidP="00A54905">
      <w:pPr>
        <w:pStyle w:val="a3"/>
        <w:ind w:left="0" w:firstLine="709"/>
        <w:rPr>
          <w:color w:val="000000"/>
        </w:rPr>
      </w:pPr>
      <w:r>
        <w:rPr>
          <w:color w:val="000000"/>
          <w:lang w:val="kk-KZ"/>
        </w:rPr>
        <w:t xml:space="preserve">              </w:t>
      </w:r>
      <w:r w:rsidRPr="00A54905">
        <w:rPr>
          <w:noProof/>
          <w:lang w:eastAsia="ru-RU"/>
        </w:rPr>
        <w:drawing>
          <wp:inline distT="0" distB="0" distL="0" distR="0" wp14:anchorId="3E69AF8A" wp14:editId="778017D2">
            <wp:extent cx="3171127" cy="4419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5133" t="22053" r="67705" b="10646"/>
                    <a:stretch/>
                  </pic:blipFill>
                  <pic:spPr bwMode="auto">
                    <a:xfrm>
                      <a:off x="0" y="0"/>
                      <a:ext cx="3171127" cy="4419600"/>
                    </a:xfrm>
                    <a:prstGeom prst="rect">
                      <a:avLst/>
                    </a:prstGeom>
                    <a:ln>
                      <a:noFill/>
                    </a:ln>
                    <a:extLst>
                      <a:ext uri="{53640926-AAD7-44D8-BBD7-CCE9431645EC}">
                        <a14:shadowObscured xmlns:a14="http://schemas.microsoft.com/office/drawing/2010/main"/>
                      </a:ext>
                    </a:extLst>
                  </pic:spPr>
                </pic:pic>
              </a:graphicData>
            </a:graphic>
          </wp:inline>
        </w:drawing>
      </w:r>
    </w:p>
    <w:p w14:paraId="2EEC3FFC" w14:textId="77777777" w:rsidR="000279C7" w:rsidRPr="00A54905" w:rsidRDefault="000279C7" w:rsidP="00A54905">
      <w:pPr>
        <w:pStyle w:val="a3"/>
        <w:ind w:left="0" w:firstLine="709"/>
        <w:rPr>
          <w:color w:val="000000"/>
        </w:rPr>
      </w:pPr>
    </w:p>
    <w:p w14:paraId="385F6FD4" w14:textId="77777777" w:rsidR="000279C7" w:rsidRPr="00A54905" w:rsidRDefault="000279C7" w:rsidP="00A54905">
      <w:pPr>
        <w:pStyle w:val="a3"/>
        <w:ind w:left="0" w:firstLine="709"/>
        <w:jc w:val="center"/>
        <w:rPr>
          <w:color w:val="000000"/>
          <w:sz w:val="24"/>
          <w:szCs w:val="24"/>
        </w:rPr>
      </w:pPr>
    </w:p>
    <w:p w14:paraId="4051E438" w14:textId="77777777" w:rsidR="00575212" w:rsidRPr="00A54905" w:rsidRDefault="00A54905" w:rsidP="00A54905">
      <w:pPr>
        <w:rPr>
          <w:color w:val="000000"/>
          <w:sz w:val="24"/>
          <w:szCs w:val="24"/>
          <w:lang w:val="kk-KZ"/>
        </w:rPr>
      </w:pPr>
      <w:r>
        <w:rPr>
          <w:color w:val="000000"/>
          <w:sz w:val="24"/>
          <w:szCs w:val="24"/>
          <w:lang w:val="kk-KZ"/>
        </w:rPr>
        <w:t xml:space="preserve"> </w:t>
      </w:r>
      <w:r w:rsidR="000279C7" w:rsidRPr="00A40587">
        <w:rPr>
          <w:color w:val="000000"/>
          <w:sz w:val="24"/>
          <w:szCs w:val="24"/>
          <w:lang w:val="en-US"/>
        </w:rPr>
        <w:t>Figure</w:t>
      </w:r>
      <w:r w:rsidR="00CF41B7">
        <w:rPr>
          <w:color w:val="000000"/>
          <w:spacing w:val="-1"/>
          <w:sz w:val="24"/>
          <w:szCs w:val="24"/>
          <w:lang w:val="kk-KZ"/>
        </w:rPr>
        <w:t>2</w:t>
      </w:r>
      <w:r w:rsidR="000279C7" w:rsidRPr="00A40587">
        <w:rPr>
          <w:color w:val="000000"/>
          <w:sz w:val="24"/>
          <w:szCs w:val="24"/>
          <w:lang w:val="en-US"/>
        </w:rPr>
        <w:t>-Study design</w:t>
      </w:r>
      <w:bookmarkEnd w:id="0"/>
      <w:bookmarkEnd w:id="1"/>
    </w:p>
    <w:p w14:paraId="20AD07C5" w14:textId="77777777" w:rsidR="000279C7" w:rsidRPr="00A40587" w:rsidRDefault="000279C7" w:rsidP="00A54905">
      <w:pPr>
        <w:ind w:firstLine="709"/>
        <w:jc w:val="both"/>
        <w:rPr>
          <w:bCs/>
          <w:color w:val="000000"/>
          <w:sz w:val="28"/>
          <w:szCs w:val="28"/>
          <w:lang w:val="en-US"/>
        </w:rPr>
      </w:pPr>
    </w:p>
    <w:p w14:paraId="290FD8B9" w14:textId="77777777" w:rsidR="00456950" w:rsidRPr="00A40587" w:rsidRDefault="00456950" w:rsidP="00A54905">
      <w:pPr>
        <w:tabs>
          <w:tab w:val="left" w:pos="1589"/>
          <w:tab w:val="left" w:pos="2186"/>
          <w:tab w:val="left" w:pos="2836"/>
          <w:tab w:val="left" w:pos="3946"/>
          <w:tab w:val="left" w:pos="4947"/>
          <w:tab w:val="left" w:pos="6551"/>
          <w:tab w:val="left" w:pos="7657"/>
          <w:tab w:val="left" w:pos="8189"/>
          <w:tab w:val="left" w:pos="9335"/>
        </w:tabs>
        <w:ind w:firstLine="709"/>
        <w:jc w:val="both"/>
        <w:outlineLvl w:val="1"/>
        <w:rPr>
          <w:b/>
          <w:bCs/>
          <w:color w:val="000000"/>
          <w:sz w:val="28"/>
          <w:szCs w:val="28"/>
          <w:lang w:val="en-US"/>
        </w:rPr>
      </w:pPr>
    </w:p>
    <w:p w14:paraId="2160A794" w14:textId="632A8F16" w:rsidR="00D96E93" w:rsidRPr="00382839" w:rsidRDefault="00382839" w:rsidP="00382839">
      <w:pPr>
        <w:rPr>
          <w:b/>
          <w:bCs/>
          <w:sz w:val="28"/>
          <w:szCs w:val="28"/>
          <w:lang w:val="en-US"/>
        </w:rPr>
      </w:pPr>
      <w:r w:rsidRPr="00382839">
        <w:rPr>
          <w:b/>
          <w:bCs/>
          <w:sz w:val="28"/>
          <w:szCs w:val="28"/>
          <w:lang w:val="en-US"/>
        </w:rPr>
        <w:lastRenderedPageBreak/>
        <w:t xml:space="preserve">      </w:t>
      </w:r>
      <w:r w:rsidR="00D96E93" w:rsidRPr="00382839">
        <w:rPr>
          <w:b/>
          <w:bCs/>
          <w:sz w:val="28"/>
          <w:szCs w:val="28"/>
          <w:lang w:val="en-US"/>
        </w:rPr>
        <w:t>Methods of Statistical Analysis</w:t>
      </w:r>
    </w:p>
    <w:p w14:paraId="50AE91A8" w14:textId="4DFF04B1" w:rsidR="00D96E93" w:rsidRPr="00D96E93" w:rsidRDefault="00D96E93" w:rsidP="00D96E93">
      <w:pPr>
        <w:rPr>
          <w:sz w:val="28"/>
          <w:szCs w:val="28"/>
          <w:lang w:val="en-US"/>
        </w:rPr>
      </w:pPr>
      <w:r w:rsidRPr="00D96E93">
        <w:rPr>
          <w:sz w:val="28"/>
          <w:szCs w:val="28"/>
          <w:lang w:val="en-US"/>
        </w:rPr>
        <w:t xml:space="preserve">     Statistical analysis of the obtained data was performed using Microsoft Excel (Microsoft Office 2010) and </w:t>
      </w:r>
      <w:proofErr w:type="spellStart"/>
      <w:r w:rsidRPr="00D96E93">
        <w:rPr>
          <w:sz w:val="28"/>
          <w:szCs w:val="28"/>
          <w:lang w:val="en-US"/>
        </w:rPr>
        <w:t>Statistica</w:t>
      </w:r>
      <w:proofErr w:type="spellEnd"/>
      <w:r w:rsidRPr="00D96E93">
        <w:rPr>
          <w:sz w:val="28"/>
          <w:szCs w:val="28"/>
          <w:lang w:val="en-US"/>
        </w:rPr>
        <w:t xml:space="preserve"> 13.0 software. The selection of statistical methods was based on the sample size, data distribution characteristics, and the specifics of the experimental design.</w:t>
      </w:r>
    </w:p>
    <w:p w14:paraId="05DCC53D" w14:textId="4DD2F11C" w:rsidR="00D96E93" w:rsidRPr="00D96E93" w:rsidRDefault="00D96E93" w:rsidP="00D96E93">
      <w:pPr>
        <w:rPr>
          <w:sz w:val="28"/>
          <w:szCs w:val="28"/>
          <w:lang w:val="en-US"/>
        </w:rPr>
      </w:pPr>
      <w:r w:rsidRPr="00D96E93">
        <w:rPr>
          <w:sz w:val="28"/>
          <w:szCs w:val="28"/>
          <w:lang w:val="en-US"/>
        </w:rPr>
        <w:t xml:space="preserve">     Descriptive statistics were calculated for quantitative variables depending on the type of distribution. For normally distributed data, results were presented as mean (M), standard deviation (SD), and 95% confidence interval (95% CI). For non-normally distributed data, variables were expressed as the median (Me) and interquartile range (Q25–Q75).</w:t>
      </w:r>
    </w:p>
    <w:p w14:paraId="6D11C854" w14:textId="6D9FF6B0" w:rsidR="00D96E93" w:rsidRPr="00D96E93" w:rsidRDefault="00D96E93" w:rsidP="00D96E93">
      <w:pPr>
        <w:rPr>
          <w:sz w:val="28"/>
          <w:szCs w:val="28"/>
          <w:lang w:val="en-US"/>
        </w:rPr>
      </w:pPr>
      <w:r w:rsidRPr="00D96E93">
        <w:rPr>
          <w:sz w:val="28"/>
          <w:szCs w:val="28"/>
          <w:lang w:val="en-US"/>
        </w:rPr>
        <w:t xml:space="preserve">     For qualitative variables, relative frequencies and proportions were calculated. Comparisons of quantitative variables between groups were performed using the nonparametric Mann–Whitney U test. Differences in qualitative variables were assessed using Pearson’s χ² test; when the expected cell count was less than 5, Fisher’s exact test was applied. A p-value of &lt; 0.05 was considered statistically significant.</w:t>
      </w:r>
    </w:p>
    <w:p w14:paraId="37C99375" w14:textId="1D000AF9" w:rsidR="00D96E93" w:rsidRPr="00382839" w:rsidRDefault="00382839" w:rsidP="00D96E93">
      <w:pPr>
        <w:rPr>
          <w:b/>
          <w:bCs/>
          <w:sz w:val="28"/>
          <w:szCs w:val="28"/>
          <w:lang w:val="en-US"/>
        </w:rPr>
      </w:pPr>
      <w:r w:rsidRPr="00382839">
        <w:rPr>
          <w:b/>
          <w:bCs/>
          <w:sz w:val="28"/>
          <w:szCs w:val="28"/>
          <w:lang w:val="en-US"/>
        </w:rPr>
        <w:t xml:space="preserve">     </w:t>
      </w:r>
      <w:r w:rsidR="00D96E93" w:rsidRPr="00382839">
        <w:rPr>
          <w:b/>
          <w:bCs/>
          <w:sz w:val="28"/>
          <w:szCs w:val="28"/>
          <w:lang w:val="en-US"/>
        </w:rPr>
        <w:t>Results and Discussion</w:t>
      </w:r>
    </w:p>
    <w:p w14:paraId="4B2ACDC3" w14:textId="6BFDAEBC" w:rsidR="00D96E93" w:rsidRPr="00D96E93" w:rsidRDefault="00D96E93" w:rsidP="00D96E93">
      <w:pPr>
        <w:rPr>
          <w:sz w:val="28"/>
          <w:szCs w:val="28"/>
          <w:lang w:val="en-US"/>
        </w:rPr>
      </w:pPr>
      <w:r w:rsidRPr="00D96E93">
        <w:rPr>
          <w:sz w:val="28"/>
          <w:szCs w:val="28"/>
          <w:lang w:val="en-US"/>
        </w:rPr>
        <w:t xml:space="preserve">    To ensure objectivity, the effectiveness of two methods of gentamicin delivery was evaluated within the experimental study: the use of </w:t>
      </w:r>
      <w:proofErr w:type="spellStart"/>
      <w:r w:rsidRPr="00D96E93">
        <w:rPr>
          <w:sz w:val="28"/>
          <w:szCs w:val="28"/>
          <w:lang w:val="en-US"/>
        </w:rPr>
        <w:t>PerOssal</w:t>
      </w:r>
      <w:proofErr w:type="spellEnd"/>
      <w:r w:rsidRPr="00D96E93">
        <w:rPr>
          <w:sz w:val="28"/>
          <w:szCs w:val="28"/>
          <w:lang w:val="en-US"/>
        </w:rPr>
        <w:t>® granules and a perforated bone allograft impregnated with this antibiotic.</w:t>
      </w:r>
    </w:p>
    <w:p w14:paraId="4BF50284" w14:textId="3676477F" w:rsidR="00D96E93" w:rsidRPr="00D96E93" w:rsidRDefault="00D96E93" w:rsidP="00D96E93">
      <w:pPr>
        <w:rPr>
          <w:sz w:val="28"/>
          <w:szCs w:val="28"/>
          <w:lang w:val="en-US"/>
        </w:rPr>
      </w:pPr>
      <w:r w:rsidRPr="00D96E93">
        <w:rPr>
          <w:sz w:val="28"/>
          <w:szCs w:val="28"/>
          <w:lang w:val="en-US"/>
        </w:rPr>
        <w:t xml:space="preserve">    Quantitative analysis of gentamicin concentration was performed using high-performance liquid chromatography (HPLC) with a chromatographic system. Samples of blood plasma and adjacent soft tissues were obtained from rabbits in two groups (20 animals per group): Group 1 — </w:t>
      </w:r>
      <w:proofErr w:type="spellStart"/>
      <w:r w:rsidRPr="00D96E93">
        <w:rPr>
          <w:sz w:val="28"/>
          <w:szCs w:val="28"/>
          <w:lang w:val="en-US"/>
        </w:rPr>
        <w:t>PerOssal</w:t>
      </w:r>
      <w:proofErr w:type="spellEnd"/>
      <w:r w:rsidRPr="00D96E93">
        <w:rPr>
          <w:sz w:val="28"/>
          <w:szCs w:val="28"/>
          <w:lang w:val="en-US"/>
        </w:rPr>
        <w:t>® granules loaded with gentamicin, and Group 2 — perforated bone allograft impregnated with gentamicin.</w:t>
      </w:r>
    </w:p>
    <w:p w14:paraId="4F59178B" w14:textId="42BFFBDB" w:rsidR="004D122C" w:rsidRPr="00D96E93" w:rsidRDefault="00D96E93" w:rsidP="00D96E93">
      <w:pPr>
        <w:rPr>
          <w:sz w:val="28"/>
          <w:szCs w:val="28"/>
          <w:lang w:val="en-US"/>
        </w:rPr>
      </w:pPr>
      <w:r w:rsidRPr="00D96E93">
        <w:rPr>
          <w:sz w:val="28"/>
          <w:szCs w:val="28"/>
          <w:lang w:val="en-US"/>
        </w:rPr>
        <w:t xml:space="preserve">     Sampling in both groups was performed at identical time points: 1, 3, and 5 hours after surgery, as well as daily for 7 days. Quantitative HPLC data for experimental animals in Group 1 (</w:t>
      </w:r>
      <w:proofErr w:type="spellStart"/>
      <w:r w:rsidRPr="00D96E93">
        <w:rPr>
          <w:sz w:val="28"/>
          <w:szCs w:val="28"/>
          <w:lang w:val="en-US"/>
        </w:rPr>
        <w:t>PerOssal</w:t>
      </w:r>
      <w:proofErr w:type="spellEnd"/>
      <w:r w:rsidRPr="00D96E93">
        <w:rPr>
          <w:sz w:val="28"/>
          <w:szCs w:val="28"/>
          <w:lang w:val="en-US"/>
        </w:rPr>
        <w:t>® granules) are presented in Table 1.</w:t>
      </w:r>
    </w:p>
    <w:p w14:paraId="27E90943" w14:textId="77777777" w:rsidR="004D122C" w:rsidRPr="00A40587" w:rsidRDefault="004D122C" w:rsidP="00F55C1D">
      <w:pPr>
        <w:ind w:firstLine="709"/>
        <w:jc w:val="both"/>
        <w:rPr>
          <w:sz w:val="24"/>
          <w:szCs w:val="24"/>
          <w:lang w:val="en-US"/>
        </w:rPr>
      </w:pPr>
      <w:r w:rsidRPr="00A40587">
        <w:rPr>
          <w:sz w:val="16"/>
          <w:szCs w:val="16"/>
          <w:lang w:val="en-US"/>
        </w:rPr>
        <w:t>Table 1. Comparative characteristics of the values of gentamicin concentration in blood plasma in different periods of observation of the use of bone allograft impregnated with an antibiotic</w:t>
      </w:r>
      <w:r w:rsidRPr="00A40587">
        <w:rPr>
          <w:sz w:val="24"/>
          <w:szCs w:val="24"/>
          <w:lang w:val="en-US"/>
        </w:rPr>
        <w:t>.</w:t>
      </w:r>
    </w:p>
    <w:p w14:paraId="32151A0B" w14:textId="77777777" w:rsidR="00151A54" w:rsidRPr="00A40587" w:rsidRDefault="00151A54" w:rsidP="00151A54">
      <w:pPr>
        <w:ind w:firstLine="709"/>
        <w:jc w:val="center"/>
        <w:rPr>
          <w:sz w:val="24"/>
          <w:szCs w:val="24"/>
          <w:lang w:val="en-US"/>
        </w:rPr>
      </w:pPr>
    </w:p>
    <w:tbl>
      <w:tblPr>
        <w:tblStyle w:val="aa"/>
        <w:tblW w:w="9750" w:type="dxa"/>
        <w:tblLayout w:type="fixed"/>
        <w:tblLook w:val="04A0" w:firstRow="1" w:lastRow="0" w:firstColumn="1" w:lastColumn="0" w:noHBand="0" w:noVBand="1"/>
      </w:tblPr>
      <w:tblGrid>
        <w:gridCol w:w="1648"/>
        <w:gridCol w:w="347"/>
        <w:gridCol w:w="934"/>
        <w:gridCol w:w="635"/>
        <w:gridCol w:w="582"/>
        <w:gridCol w:w="1414"/>
        <w:gridCol w:w="1114"/>
        <w:gridCol w:w="26"/>
        <w:gridCol w:w="1913"/>
        <w:gridCol w:w="1137"/>
      </w:tblGrid>
      <w:tr w:rsidR="00A54905" w:rsidRPr="00151A54" w14:paraId="3A2F6A1A" w14:textId="77777777" w:rsidTr="001E6380">
        <w:trPr>
          <w:trHeight w:val="256"/>
        </w:trPr>
        <w:tc>
          <w:tcPr>
            <w:tcW w:w="1648" w:type="dxa"/>
            <w:vMerge w:val="restart"/>
            <w:tcBorders>
              <w:top w:val="single" w:sz="4" w:space="0" w:color="auto"/>
              <w:left w:val="single" w:sz="4" w:space="0" w:color="auto"/>
              <w:bottom w:val="single" w:sz="4" w:space="0" w:color="auto"/>
              <w:right w:val="single" w:sz="4" w:space="0" w:color="auto"/>
            </w:tcBorders>
            <w:noWrap/>
            <w:hideMark/>
          </w:tcPr>
          <w:p w14:paraId="6E94F581" w14:textId="77777777" w:rsidR="00A54905" w:rsidRPr="00F55C1D" w:rsidRDefault="00A54905" w:rsidP="00151A54">
            <w:pPr>
              <w:contextualSpacing/>
              <w:rPr>
                <w:lang w:val="en-US"/>
              </w:rPr>
            </w:pPr>
            <w:proofErr w:type="spellStart"/>
            <w:r w:rsidRPr="00F55C1D">
              <w:t>Follow-up</w:t>
            </w:r>
            <w:proofErr w:type="spellEnd"/>
            <w:r w:rsidRPr="00F55C1D">
              <w:t xml:space="preserve"> </w:t>
            </w:r>
            <w:proofErr w:type="spellStart"/>
            <w:r w:rsidRPr="00F55C1D">
              <w:t>period</w:t>
            </w:r>
            <w:proofErr w:type="spellEnd"/>
          </w:p>
        </w:tc>
        <w:tc>
          <w:tcPr>
            <w:tcW w:w="1281" w:type="dxa"/>
            <w:gridSpan w:val="2"/>
            <w:tcBorders>
              <w:top w:val="single" w:sz="4" w:space="0" w:color="auto"/>
              <w:left w:val="single" w:sz="4" w:space="0" w:color="auto"/>
              <w:bottom w:val="single" w:sz="4" w:space="0" w:color="auto"/>
              <w:right w:val="single" w:sz="4" w:space="0" w:color="auto"/>
            </w:tcBorders>
          </w:tcPr>
          <w:p w14:paraId="639B4A13" w14:textId="77777777" w:rsidR="00A54905" w:rsidRPr="00F55C1D" w:rsidRDefault="00A54905" w:rsidP="00151A54">
            <w:pPr>
              <w:contextualSpacing/>
            </w:pPr>
            <w:proofErr w:type="spellStart"/>
            <w:r w:rsidRPr="00F55C1D">
              <w:t>Iu</w:t>
            </w:r>
            <w:proofErr w:type="spellEnd"/>
          </w:p>
        </w:tc>
        <w:tc>
          <w:tcPr>
            <w:tcW w:w="1217" w:type="dxa"/>
            <w:gridSpan w:val="2"/>
            <w:tcBorders>
              <w:top w:val="single" w:sz="4" w:space="0" w:color="auto"/>
              <w:left w:val="single" w:sz="4" w:space="0" w:color="auto"/>
              <w:bottom w:val="single" w:sz="4" w:space="0" w:color="auto"/>
              <w:right w:val="single" w:sz="4" w:space="0" w:color="auto"/>
            </w:tcBorders>
          </w:tcPr>
          <w:p w14:paraId="5775B09D" w14:textId="77777777" w:rsidR="00A54905" w:rsidRPr="00F55C1D" w:rsidRDefault="00A54905" w:rsidP="00151A54">
            <w:pPr>
              <w:contextualSpacing/>
            </w:pPr>
            <w:r w:rsidRPr="00F55C1D">
              <w:rPr>
                <w:bCs/>
                <w:color w:val="000000"/>
                <w:lang w:val="en-US"/>
              </w:rPr>
              <w:t>IQR</w:t>
            </w:r>
          </w:p>
        </w:tc>
        <w:tc>
          <w:tcPr>
            <w:tcW w:w="1414" w:type="dxa"/>
            <w:tcBorders>
              <w:top w:val="single" w:sz="4" w:space="0" w:color="auto"/>
              <w:left w:val="single" w:sz="4" w:space="0" w:color="auto"/>
              <w:bottom w:val="single" w:sz="4" w:space="0" w:color="auto"/>
              <w:right w:val="single" w:sz="4" w:space="0" w:color="auto"/>
            </w:tcBorders>
            <w:noWrap/>
          </w:tcPr>
          <w:p w14:paraId="59055E96" w14:textId="77777777" w:rsidR="00A54905" w:rsidRPr="00F55C1D" w:rsidRDefault="00A54905" w:rsidP="00151A54">
            <w:pPr>
              <w:contextualSpacing/>
            </w:pPr>
            <w:proofErr w:type="spellStart"/>
            <w:r w:rsidRPr="00F55C1D">
              <w:t>Iu</w:t>
            </w:r>
            <w:proofErr w:type="spellEnd"/>
          </w:p>
        </w:tc>
        <w:tc>
          <w:tcPr>
            <w:tcW w:w="1114" w:type="dxa"/>
            <w:tcBorders>
              <w:top w:val="single" w:sz="4" w:space="0" w:color="auto"/>
              <w:left w:val="single" w:sz="4" w:space="0" w:color="auto"/>
              <w:bottom w:val="single" w:sz="4" w:space="0" w:color="auto"/>
              <w:right w:val="single" w:sz="4" w:space="0" w:color="auto"/>
            </w:tcBorders>
          </w:tcPr>
          <w:p w14:paraId="3E0A7B61" w14:textId="77777777" w:rsidR="00A54905" w:rsidRPr="00F55C1D" w:rsidRDefault="00A54905" w:rsidP="00151A54">
            <w:pPr>
              <w:contextualSpacing/>
            </w:pPr>
            <w:r w:rsidRPr="00F55C1D">
              <w:rPr>
                <w:bCs/>
                <w:color w:val="000000"/>
                <w:lang w:val="en-US"/>
              </w:rPr>
              <w:t>IQR</w:t>
            </w:r>
          </w:p>
        </w:tc>
        <w:tc>
          <w:tcPr>
            <w:tcW w:w="1939" w:type="dxa"/>
            <w:gridSpan w:val="2"/>
            <w:tcBorders>
              <w:top w:val="single" w:sz="4" w:space="0" w:color="auto"/>
              <w:left w:val="single" w:sz="4" w:space="0" w:color="auto"/>
              <w:bottom w:val="single" w:sz="4" w:space="0" w:color="auto"/>
              <w:right w:val="single" w:sz="4" w:space="0" w:color="auto"/>
            </w:tcBorders>
          </w:tcPr>
          <w:p w14:paraId="332C1EBE" w14:textId="77777777" w:rsidR="00A54905" w:rsidRPr="00F55C1D" w:rsidRDefault="00A54905" w:rsidP="00151A54">
            <w:pPr>
              <w:contextualSpacing/>
            </w:pPr>
          </w:p>
        </w:tc>
        <w:tc>
          <w:tcPr>
            <w:tcW w:w="1137" w:type="dxa"/>
            <w:tcBorders>
              <w:top w:val="single" w:sz="4" w:space="0" w:color="auto"/>
              <w:left w:val="single" w:sz="4" w:space="0" w:color="auto"/>
              <w:bottom w:val="single" w:sz="4" w:space="0" w:color="auto"/>
              <w:right w:val="single" w:sz="4" w:space="0" w:color="auto"/>
            </w:tcBorders>
          </w:tcPr>
          <w:p w14:paraId="3EA42515" w14:textId="77777777" w:rsidR="00A54905" w:rsidRPr="00F55C1D" w:rsidRDefault="00A54905" w:rsidP="00A54905">
            <w:pPr>
              <w:ind w:firstLine="709"/>
              <w:contextualSpacing/>
            </w:pPr>
          </w:p>
        </w:tc>
      </w:tr>
      <w:tr w:rsidR="00A54905" w:rsidRPr="00151A54" w14:paraId="4B5504C9" w14:textId="77777777" w:rsidTr="001E6380">
        <w:trPr>
          <w:trHeight w:val="113"/>
        </w:trPr>
        <w:tc>
          <w:tcPr>
            <w:tcW w:w="1648" w:type="dxa"/>
            <w:vMerge/>
            <w:tcBorders>
              <w:top w:val="single" w:sz="4" w:space="0" w:color="auto"/>
              <w:left w:val="single" w:sz="4" w:space="0" w:color="auto"/>
              <w:bottom w:val="single" w:sz="4" w:space="0" w:color="auto"/>
              <w:right w:val="single" w:sz="4" w:space="0" w:color="auto"/>
            </w:tcBorders>
            <w:noWrap/>
          </w:tcPr>
          <w:p w14:paraId="48062842" w14:textId="77777777" w:rsidR="00A54905" w:rsidRPr="00F55C1D" w:rsidRDefault="00A54905" w:rsidP="00A54905">
            <w:pPr>
              <w:ind w:firstLine="709"/>
              <w:contextualSpacing/>
            </w:pPr>
          </w:p>
        </w:tc>
        <w:tc>
          <w:tcPr>
            <w:tcW w:w="2498" w:type="dxa"/>
            <w:gridSpan w:val="4"/>
            <w:tcBorders>
              <w:top w:val="single" w:sz="4" w:space="0" w:color="auto"/>
              <w:left w:val="single" w:sz="4" w:space="0" w:color="auto"/>
              <w:bottom w:val="single" w:sz="4" w:space="0" w:color="auto"/>
              <w:right w:val="single" w:sz="4" w:space="0" w:color="auto"/>
            </w:tcBorders>
            <w:noWrap/>
          </w:tcPr>
          <w:p w14:paraId="2F434A63" w14:textId="785930C3" w:rsidR="00A54905" w:rsidRPr="00324344" w:rsidRDefault="00A54905" w:rsidP="00151A54">
            <w:pPr>
              <w:contextualSpacing/>
              <w:rPr>
                <w:bCs/>
                <w:lang w:val="en-US"/>
              </w:rPr>
            </w:pPr>
            <w:proofErr w:type="spellStart"/>
            <w:r w:rsidRPr="00F55C1D">
              <w:t>Perossal</w:t>
            </w:r>
            <w:r w:rsidRPr="00F55C1D">
              <w:rPr>
                <w:bCs/>
              </w:rPr>
              <w:t>®Ng</w:t>
            </w:r>
            <w:proofErr w:type="spellEnd"/>
            <w:r w:rsidRPr="00F55C1D">
              <w:rPr>
                <w:bCs/>
              </w:rPr>
              <w:t>/ m</w:t>
            </w:r>
            <w:r w:rsidR="00324344">
              <w:rPr>
                <w:bCs/>
                <w:lang w:val="en-US"/>
              </w:rPr>
              <w:t>l</w:t>
            </w:r>
          </w:p>
        </w:tc>
        <w:tc>
          <w:tcPr>
            <w:tcW w:w="2554" w:type="dxa"/>
            <w:gridSpan w:val="3"/>
            <w:tcBorders>
              <w:top w:val="single" w:sz="4" w:space="0" w:color="auto"/>
              <w:left w:val="single" w:sz="4" w:space="0" w:color="auto"/>
              <w:bottom w:val="single" w:sz="4" w:space="0" w:color="auto"/>
              <w:right w:val="single" w:sz="4" w:space="0" w:color="auto"/>
            </w:tcBorders>
          </w:tcPr>
          <w:p w14:paraId="43898CB5" w14:textId="77777777" w:rsidR="00A54905" w:rsidRPr="00F55C1D" w:rsidRDefault="00151A54" w:rsidP="00151A54">
            <w:pPr>
              <w:contextualSpacing/>
              <w:rPr>
                <w:bCs/>
                <w:color w:val="000000"/>
              </w:rPr>
            </w:pPr>
            <w:proofErr w:type="spellStart"/>
            <w:r w:rsidRPr="00F55C1D">
              <w:rPr>
                <w:bCs/>
                <w:color w:val="000000"/>
              </w:rPr>
              <w:t>Bone</w:t>
            </w:r>
            <w:proofErr w:type="spellEnd"/>
            <w:r w:rsidRPr="00F55C1D">
              <w:rPr>
                <w:bCs/>
                <w:color w:val="000000"/>
              </w:rPr>
              <w:t xml:space="preserve"> </w:t>
            </w:r>
            <w:proofErr w:type="spellStart"/>
            <w:r w:rsidR="00A54905" w:rsidRPr="00F55C1D">
              <w:rPr>
                <w:bCs/>
                <w:color w:val="000000"/>
              </w:rPr>
              <w:t>allograft</w:t>
            </w:r>
            <w:proofErr w:type="spellEnd"/>
          </w:p>
          <w:p w14:paraId="0EE7E64E" w14:textId="63CDA2B1" w:rsidR="00A54905" w:rsidRPr="00324344" w:rsidRDefault="00A54905" w:rsidP="00151A54">
            <w:pPr>
              <w:contextualSpacing/>
              <w:rPr>
                <w:bCs/>
                <w:color w:val="000000"/>
                <w:lang w:val="en-US"/>
              </w:rPr>
            </w:pPr>
            <w:proofErr w:type="spellStart"/>
            <w:r w:rsidRPr="00F55C1D">
              <w:rPr>
                <w:bCs/>
                <w:color w:val="000000"/>
              </w:rPr>
              <w:t>Ng</w:t>
            </w:r>
            <w:proofErr w:type="spellEnd"/>
            <w:r w:rsidRPr="00F55C1D">
              <w:rPr>
                <w:bCs/>
                <w:color w:val="000000"/>
              </w:rPr>
              <w:t>/ m</w:t>
            </w:r>
            <w:r w:rsidR="00324344">
              <w:rPr>
                <w:bCs/>
                <w:color w:val="000000"/>
                <w:lang w:val="en-US"/>
              </w:rPr>
              <w:t>l</w:t>
            </w:r>
          </w:p>
        </w:tc>
        <w:tc>
          <w:tcPr>
            <w:tcW w:w="1913" w:type="dxa"/>
            <w:tcBorders>
              <w:top w:val="single" w:sz="4" w:space="0" w:color="auto"/>
              <w:left w:val="single" w:sz="4" w:space="0" w:color="auto"/>
              <w:bottom w:val="single" w:sz="4" w:space="0" w:color="auto"/>
              <w:right w:val="single" w:sz="4" w:space="0" w:color="auto"/>
            </w:tcBorders>
          </w:tcPr>
          <w:p w14:paraId="717AFD0C" w14:textId="77777777" w:rsidR="00A54905" w:rsidRPr="00F55C1D" w:rsidRDefault="00A54905" w:rsidP="00A54905">
            <w:pPr>
              <w:contextualSpacing/>
              <w:rPr>
                <w:bCs/>
                <w:color w:val="000000"/>
              </w:rPr>
            </w:pPr>
            <w:r w:rsidRPr="00F55C1D">
              <w:rPr>
                <w:bCs/>
                <w:color w:val="000000"/>
                <w:lang w:val="en-US"/>
              </w:rPr>
              <w:t>U-</w:t>
            </w:r>
            <w:proofErr w:type="spellStart"/>
            <w:proofErr w:type="gramStart"/>
            <w:r w:rsidRPr="00F55C1D">
              <w:rPr>
                <w:bCs/>
                <w:color w:val="000000"/>
              </w:rPr>
              <w:t>value.criteria</w:t>
            </w:r>
            <w:proofErr w:type="spellEnd"/>
            <w:proofErr w:type="gramEnd"/>
          </w:p>
        </w:tc>
        <w:tc>
          <w:tcPr>
            <w:tcW w:w="1137" w:type="dxa"/>
            <w:tcBorders>
              <w:top w:val="single" w:sz="4" w:space="0" w:color="auto"/>
              <w:left w:val="single" w:sz="4" w:space="0" w:color="auto"/>
              <w:bottom w:val="single" w:sz="4" w:space="0" w:color="auto"/>
              <w:right w:val="single" w:sz="4" w:space="0" w:color="auto"/>
            </w:tcBorders>
            <w:noWrap/>
          </w:tcPr>
          <w:p w14:paraId="164AB6D7" w14:textId="77777777" w:rsidR="00A54905" w:rsidRPr="00F55C1D" w:rsidRDefault="00A54905" w:rsidP="00151A54">
            <w:pPr>
              <w:contextualSpacing/>
              <w:rPr>
                <w:bCs/>
                <w:color w:val="000000"/>
                <w:lang w:val="en-US"/>
              </w:rPr>
            </w:pPr>
            <w:r w:rsidRPr="00F55C1D">
              <w:rPr>
                <w:bCs/>
                <w:color w:val="000000"/>
                <w:lang w:val="en-US"/>
              </w:rPr>
              <w:t>p</w:t>
            </w:r>
          </w:p>
        </w:tc>
      </w:tr>
      <w:tr w:rsidR="00CF79D6" w:rsidRPr="00151A54" w14:paraId="572F1012" w14:textId="77777777" w:rsidTr="001E6380">
        <w:trPr>
          <w:trHeight w:val="113"/>
        </w:trPr>
        <w:tc>
          <w:tcPr>
            <w:tcW w:w="1648" w:type="dxa"/>
            <w:tcBorders>
              <w:top w:val="single" w:sz="4" w:space="0" w:color="auto"/>
              <w:left w:val="single" w:sz="4" w:space="0" w:color="auto"/>
              <w:bottom w:val="single" w:sz="4" w:space="0" w:color="auto"/>
              <w:right w:val="single" w:sz="4" w:space="0" w:color="auto"/>
            </w:tcBorders>
            <w:noWrap/>
            <w:hideMark/>
          </w:tcPr>
          <w:p w14:paraId="17A57315" w14:textId="77777777" w:rsidR="00CF79D6" w:rsidRPr="00F55C1D" w:rsidRDefault="00CF79D6" w:rsidP="00A54905">
            <w:pPr>
              <w:ind w:firstLine="709"/>
              <w:contextualSpacing/>
              <w:rPr>
                <w:b/>
                <w:bCs/>
                <w:lang w:val="en-US"/>
              </w:rPr>
            </w:pPr>
            <w:r w:rsidRPr="00F55C1D">
              <w:rPr>
                <w:bCs/>
                <w:color w:val="000000"/>
              </w:rPr>
              <w:t>1h</w:t>
            </w:r>
          </w:p>
        </w:tc>
        <w:tc>
          <w:tcPr>
            <w:tcW w:w="1281" w:type="dxa"/>
            <w:gridSpan w:val="2"/>
            <w:tcBorders>
              <w:top w:val="single" w:sz="4" w:space="0" w:color="auto"/>
              <w:left w:val="single" w:sz="4" w:space="0" w:color="auto"/>
              <w:bottom w:val="single" w:sz="4" w:space="0" w:color="auto"/>
              <w:right w:val="single" w:sz="4" w:space="0" w:color="auto"/>
            </w:tcBorders>
            <w:noWrap/>
            <w:hideMark/>
          </w:tcPr>
          <w:p w14:paraId="413C9ADC" w14:textId="77777777" w:rsidR="00CF79D6" w:rsidRPr="00F55C1D" w:rsidRDefault="00CF79D6" w:rsidP="00A54905">
            <w:pPr>
              <w:contextualSpacing/>
              <w:rPr>
                <w:color w:val="000000"/>
              </w:rPr>
            </w:pPr>
            <w:r w:rsidRPr="00F55C1D">
              <w:rPr>
                <w:color w:val="000000"/>
              </w:rPr>
              <w:t>78.39</w:t>
            </w:r>
          </w:p>
        </w:tc>
        <w:tc>
          <w:tcPr>
            <w:tcW w:w="1217" w:type="dxa"/>
            <w:gridSpan w:val="2"/>
            <w:tcBorders>
              <w:top w:val="single" w:sz="4" w:space="0" w:color="auto"/>
              <w:left w:val="single" w:sz="4" w:space="0" w:color="auto"/>
              <w:bottom w:val="single" w:sz="4" w:space="0" w:color="auto"/>
              <w:right w:val="single" w:sz="4" w:space="0" w:color="auto"/>
            </w:tcBorders>
          </w:tcPr>
          <w:p w14:paraId="4D0DC688" w14:textId="77777777" w:rsidR="00CF79D6" w:rsidRPr="00F55C1D" w:rsidRDefault="00CF79D6" w:rsidP="00A54905">
            <w:pPr>
              <w:contextualSpacing/>
              <w:rPr>
                <w:color w:val="000000"/>
              </w:rPr>
            </w:pPr>
            <w:r w:rsidRPr="00F55C1D">
              <w:t>59.7</w:t>
            </w:r>
          </w:p>
        </w:tc>
        <w:tc>
          <w:tcPr>
            <w:tcW w:w="1414" w:type="dxa"/>
            <w:tcBorders>
              <w:top w:val="single" w:sz="4" w:space="0" w:color="auto"/>
              <w:left w:val="single" w:sz="4" w:space="0" w:color="auto"/>
              <w:bottom w:val="single" w:sz="4" w:space="0" w:color="auto"/>
              <w:right w:val="single" w:sz="4" w:space="0" w:color="auto"/>
            </w:tcBorders>
          </w:tcPr>
          <w:p w14:paraId="24863CBB" w14:textId="77777777" w:rsidR="00CF79D6" w:rsidRPr="00F55C1D" w:rsidRDefault="00CF79D6" w:rsidP="00A54905">
            <w:pPr>
              <w:contextualSpacing/>
              <w:rPr>
                <w:color w:val="000000"/>
              </w:rPr>
            </w:pPr>
            <w:r w:rsidRPr="00F55C1D">
              <w:rPr>
                <w:color w:val="000000"/>
              </w:rPr>
              <w:t>71.55</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4CD485EF" w14:textId="77777777" w:rsidR="00CF79D6" w:rsidRPr="00F55C1D" w:rsidRDefault="00CF79D6" w:rsidP="00A54905">
            <w:pPr>
              <w:contextualSpacing/>
            </w:pPr>
            <w:r w:rsidRPr="00F55C1D">
              <w:rPr>
                <w:color w:val="000000"/>
              </w:rPr>
              <w:t>13.62</w:t>
            </w:r>
          </w:p>
        </w:tc>
        <w:tc>
          <w:tcPr>
            <w:tcW w:w="1913" w:type="dxa"/>
            <w:tcBorders>
              <w:top w:val="single" w:sz="4" w:space="0" w:color="auto"/>
              <w:left w:val="single" w:sz="4" w:space="0" w:color="auto"/>
              <w:bottom w:val="single" w:sz="4" w:space="0" w:color="auto"/>
              <w:right w:val="single" w:sz="4" w:space="0" w:color="auto"/>
            </w:tcBorders>
          </w:tcPr>
          <w:p w14:paraId="1022FDEA" w14:textId="77777777" w:rsidR="00CF79D6" w:rsidRPr="00F55C1D" w:rsidRDefault="00CF79D6" w:rsidP="00A54905">
            <w:pPr>
              <w:contextualSpacing/>
            </w:pPr>
            <w:r w:rsidRPr="00F55C1D">
              <w:t>8.0</w:t>
            </w:r>
          </w:p>
        </w:tc>
        <w:tc>
          <w:tcPr>
            <w:tcW w:w="1137" w:type="dxa"/>
            <w:tcBorders>
              <w:top w:val="single" w:sz="4" w:space="0" w:color="auto"/>
              <w:left w:val="single" w:sz="4" w:space="0" w:color="auto"/>
              <w:bottom w:val="single" w:sz="4" w:space="0" w:color="auto"/>
              <w:right w:val="single" w:sz="4" w:space="0" w:color="auto"/>
            </w:tcBorders>
            <w:noWrap/>
            <w:hideMark/>
          </w:tcPr>
          <w:p w14:paraId="2973B68D" w14:textId="77777777" w:rsidR="009E2FC6" w:rsidRPr="00F55C1D" w:rsidRDefault="00CF79D6" w:rsidP="00A54905">
            <w:pPr>
              <w:contextualSpacing/>
            </w:pPr>
            <w:r w:rsidRPr="00F55C1D">
              <w:t>0.004</w:t>
            </w:r>
          </w:p>
        </w:tc>
      </w:tr>
      <w:tr w:rsidR="00CF79D6" w:rsidRPr="00151A54" w14:paraId="3AD34FBF" w14:textId="77777777" w:rsidTr="001E6380">
        <w:trPr>
          <w:trHeight w:val="113"/>
        </w:trPr>
        <w:tc>
          <w:tcPr>
            <w:tcW w:w="1648" w:type="dxa"/>
            <w:tcBorders>
              <w:top w:val="single" w:sz="4" w:space="0" w:color="auto"/>
              <w:left w:val="single" w:sz="4" w:space="0" w:color="auto"/>
              <w:bottom w:val="single" w:sz="4" w:space="0" w:color="auto"/>
              <w:right w:val="single" w:sz="4" w:space="0" w:color="auto"/>
            </w:tcBorders>
            <w:noWrap/>
          </w:tcPr>
          <w:p w14:paraId="43885C01" w14:textId="77777777" w:rsidR="00CF79D6" w:rsidRPr="00F55C1D" w:rsidRDefault="00CF79D6" w:rsidP="00A54905">
            <w:pPr>
              <w:ind w:firstLine="709"/>
              <w:contextualSpacing/>
              <w:rPr>
                <w:bCs/>
                <w:color w:val="000000"/>
              </w:rPr>
            </w:pPr>
            <w:r w:rsidRPr="00F55C1D">
              <w:rPr>
                <w:bCs/>
                <w:color w:val="000000"/>
              </w:rPr>
              <w:t>3h</w:t>
            </w:r>
          </w:p>
        </w:tc>
        <w:tc>
          <w:tcPr>
            <w:tcW w:w="1281" w:type="dxa"/>
            <w:gridSpan w:val="2"/>
            <w:tcBorders>
              <w:top w:val="single" w:sz="4" w:space="0" w:color="auto"/>
              <w:left w:val="single" w:sz="4" w:space="0" w:color="auto"/>
              <w:bottom w:val="single" w:sz="4" w:space="0" w:color="auto"/>
              <w:right w:val="single" w:sz="4" w:space="0" w:color="auto"/>
            </w:tcBorders>
            <w:noWrap/>
          </w:tcPr>
          <w:p w14:paraId="613E678E" w14:textId="77777777" w:rsidR="00CF79D6" w:rsidRPr="00F55C1D" w:rsidRDefault="00CF79D6" w:rsidP="00A54905">
            <w:pPr>
              <w:contextualSpacing/>
              <w:rPr>
                <w:color w:val="000000"/>
              </w:rPr>
            </w:pPr>
            <w:r w:rsidRPr="00F55C1D">
              <w:rPr>
                <w:color w:val="000000"/>
              </w:rPr>
              <w:t>3h</w:t>
            </w:r>
          </w:p>
        </w:tc>
        <w:tc>
          <w:tcPr>
            <w:tcW w:w="1217" w:type="dxa"/>
            <w:gridSpan w:val="2"/>
            <w:tcBorders>
              <w:top w:val="single" w:sz="4" w:space="0" w:color="auto"/>
              <w:left w:val="single" w:sz="4" w:space="0" w:color="auto"/>
              <w:bottom w:val="single" w:sz="4" w:space="0" w:color="auto"/>
              <w:right w:val="single" w:sz="4" w:space="0" w:color="auto"/>
            </w:tcBorders>
          </w:tcPr>
          <w:p w14:paraId="3217A095" w14:textId="77777777" w:rsidR="00CF79D6" w:rsidRPr="00F55C1D" w:rsidRDefault="00CF79D6" w:rsidP="00A54905">
            <w:pPr>
              <w:contextualSpacing/>
              <w:rPr>
                <w:color w:val="000000"/>
              </w:rPr>
            </w:pPr>
            <w:r w:rsidRPr="00F55C1D">
              <w:t>73.10 9.94</w:t>
            </w:r>
          </w:p>
        </w:tc>
        <w:tc>
          <w:tcPr>
            <w:tcW w:w="1414" w:type="dxa"/>
            <w:tcBorders>
              <w:top w:val="single" w:sz="4" w:space="0" w:color="auto"/>
              <w:left w:val="single" w:sz="4" w:space="0" w:color="auto"/>
              <w:bottom w:val="single" w:sz="4" w:space="0" w:color="auto"/>
              <w:right w:val="single" w:sz="4" w:space="0" w:color="auto"/>
            </w:tcBorders>
          </w:tcPr>
          <w:p w14:paraId="4F78407B" w14:textId="77777777" w:rsidR="00CF79D6" w:rsidRPr="00F55C1D" w:rsidRDefault="00CF79D6" w:rsidP="00A54905">
            <w:pPr>
              <w:contextualSpacing/>
              <w:rPr>
                <w:color w:val="000000"/>
              </w:rPr>
            </w:pPr>
            <w:r w:rsidRPr="00F55C1D">
              <w:rPr>
                <w:color w:val="000000"/>
              </w:rPr>
              <w:t>40.13</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534E8C0B" w14:textId="77777777" w:rsidR="00CF79D6" w:rsidRPr="00F55C1D" w:rsidRDefault="00CF79D6" w:rsidP="00A54905">
            <w:pPr>
              <w:contextualSpacing/>
              <w:rPr>
                <w:color w:val="000000"/>
              </w:rPr>
            </w:pPr>
            <w:r w:rsidRPr="00F55C1D">
              <w:rPr>
                <w:color w:val="000000"/>
              </w:rPr>
              <w:t>1.84</w:t>
            </w:r>
          </w:p>
        </w:tc>
        <w:tc>
          <w:tcPr>
            <w:tcW w:w="1913" w:type="dxa"/>
            <w:tcBorders>
              <w:top w:val="single" w:sz="4" w:space="0" w:color="auto"/>
              <w:left w:val="single" w:sz="4" w:space="0" w:color="auto"/>
              <w:bottom w:val="single" w:sz="4" w:space="0" w:color="auto"/>
              <w:right w:val="single" w:sz="4" w:space="0" w:color="auto"/>
            </w:tcBorders>
          </w:tcPr>
          <w:p w14:paraId="075F6847" w14:textId="77777777" w:rsidR="00CF79D6" w:rsidRPr="00F55C1D" w:rsidRDefault="00CF79D6" w:rsidP="00A54905">
            <w:pPr>
              <w:contextualSpacing/>
              <w:rPr>
                <w:color w:val="000000"/>
              </w:rPr>
            </w:pPr>
            <w:r w:rsidRPr="00F55C1D">
              <w:rPr>
                <w:color w:val="000000"/>
              </w:rPr>
              <w:t>26.0</w:t>
            </w:r>
          </w:p>
        </w:tc>
        <w:tc>
          <w:tcPr>
            <w:tcW w:w="1137" w:type="dxa"/>
            <w:tcBorders>
              <w:top w:val="single" w:sz="4" w:space="0" w:color="auto"/>
              <w:left w:val="single" w:sz="4" w:space="0" w:color="auto"/>
              <w:bottom w:val="single" w:sz="4" w:space="0" w:color="auto"/>
              <w:right w:val="single" w:sz="4" w:space="0" w:color="auto"/>
            </w:tcBorders>
            <w:noWrap/>
          </w:tcPr>
          <w:p w14:paraId="72301CF1" w14:textId="77777777" w:rsidR="00CF79D6" w:rsidRPr="00F55C1D" w:rsidRDefault="00A54905" w:rsidP="00A54905">
            <w:pPr>
              <w:contextualSpacing/>
              <w:rPr>
                <w:bCs/>
              </w:rPr>
            </w:pPr>
            <w:r w:rsidRPr="00F55C1D">
              <w:rPr>
                <w:color w:val="000000"/>
              </w:rPr>
              <w:t>0.002</w:t>
            </w:r>
          </w:p>
        </w:tc>
      </w:tr>
      <w:tr w:rsidR="00CF79D6" w:rsidRPr="00151A54" w14:paraId="0C9DE599" w14:textId="77777777" w:rsidTr="001E6380">
        <w:trPr>
          <w:trHeight w:val="113"/>
        </w:trPr>
        <w:tc>
          <w:tcPr>
            <w:tcW w:w="1648" w:type="dxa"/>
            <w:tcBorders>
              <w:top w:val="single" w:sz="4" w:space="0" w:color="auto"/>
              <w:left w:val="single" w:sz="4" w:space="0" w:color="auto"/>
              <w:bottom w:val="single" w:sz="4" w:space="0" w:color="auto"/>
              <w:right w:val="single" w:sz="4" w:space="0" w:color="auto"/>
            </w:tcBorders>
            <w:noWrap/>
            <w:hideMark/>
          </w:tcPr>
          <w:p w14:paraId="57A73883" w14:textId="77777777" w:rsidR="00CF79D6" w:rsidRPr="00F55C1D" w:rsidRDefault="00CF79D6" w:rsidP="00A54905">
            <w:pPr>
              <w:ind w:firstLine="709"/>
              <w:contextualSpacing/>
              <w:rPr>
                <w:b/>
                <w:bCs/>
              </w:rPr>
            </w:pPr>
            <w:r w:rsidRPr="00F55C1D">
              <w:rPr>
                <w:bCs/>
                <w:color w:val="000000"/>
              </w:rPr>
              <w:t>5h</w:t>
            </w:r>
          </w:p>
        </w:tc>
        <w:tc>
          <w:tcPr>
            <w:tcW w:w="1281" w:type="dxa"/>
            <w:gridSpan w:val="2"/>
            <w:tcBorders>
              <w:top w:val="single" w:sz="4" w:space="0" w:color="auto"/>
              <w:left w:val="single" w:sz="4" w:space="0" w:color="auto"/>
              <w:bottom w:val="single" w:sz="4" w:space="0" w:color="auto"/>
              <w:right w:val="single" w:sz="4" w:space="0" w:color="auto"/>
            </w:tcBorders>
            <w:noWrap/>
            <w:hideMark/>
          </w:tcPr>
          <w:p w14:paraId="452FE988" w14:textId="77777777" w:rsidR="00CF79D6" w:rsidRPr="00F55C1D" w:rsidRDefault="00CF79D6" w:rsidP="00A54905">
            <w:pPr>
              <w:contextualSpacing/>
              <w:rPr>
                <w:color w:val="000000"/>
              </w:rPr>
            </w:pPr>
            <w:r w:rsidRPr="00F55C1D">
              <w:rPr>
                <w:color w:val="000000"/>
              </w:rPr>
              <w:t>70.66</w:t>
            </w:r>
          </w:p>
        </w:tc>
        <w:tc>
          <w:tcPr>
            <w:tcW w:w="1217" w:type="dxa"/>
            <w:gridSpan w:val="2"/>
            <w:tcBorders>
              <w:top w:val="single" w:sz="4" w:space="0" w:color="auto"/>
              <w:left w:val="single" w:sz="4" w:space="0" w:color="auto"/>
              <w:bottom w:val="single" w:sz="4" w:space="0" w:color="auto"/>
              <w:right w:val="single" w:sz="4" w:space="0" w:color="auto"/>
            </w:tcBorders>
          </w:tcPr>
          <w:p w14:paraId="5A1EEE7B" w14:textId="77777777" w:rsidR="00CF79D6" w:rsidRPr="00F55C1D" w:rsidRDefault="00CF79D6" w:rsidP="00A54905">
            <w:pPr>
              <w:contextualSpacing/>
              <w:rPr>
                <w:color w:val="000000"/>
              </w:rPr>
            </w:pPr>
            <w:r w:rsidRPr="00F55C1D">
              <w:t>48.31</w:t>
            </w:r>
          </w:p>
        </w:tc>
        <w:tc>
          <w:tcPr>
            <w:tcW w:w="1414" w:type="dxa"/>
            <w:tcBorders>
              <w:top w:val="single" w:sz="4" w:space="0" w:color="auto"/>
              <w:left w:val="single" w:sz="4" w:space="0" w:color="auto"/>
              <w:bottom w:val="single" w:sz="4" w:space="0" w:color="auto"/>
              <w:right w:val="single" w:sz="4" w:space="0" w:color="auto"/>
            </w:tcBorders>
          </w:tcPr>
          <w:p w14:paraId="6FAFC9FC" w14:textId="77777777" w:rsidR="00CF79D6" w:rsidRPr="00F55C1D" w:rsidRDefault="00CF79D6" w:rsidP="00A54905">
            <w:pPr>
              <w:contextualSpacing/>
              <w:rPr>
                <w:color w:val="000000"/>
              </w:rPr>
            </w:pPr>
            <w:r w:rsidRPr="00F55C1D">
              <w:rPr>
                <w:color w:val="000000"/>
              </w:rPr>
              <w:t>38.50</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45E4B891" w14:textId="77777777" w:rsidR="00CF79D6" w:rsidRPr="00F55C1D" w:rsidRDefault="00CF79D6" w:rsidP="00A54905">
            <w:pPr>
              <w:contextualSpacing/>
            </w:pPr>
            <w:r w:rsidRPr="00F55C1D">
              <w:t>10.38</w:t>
            </w:r>
          </w:p>
        </w:tc>
        <w:tc>
          <w:tcPr>
            <w:tcW w:w="1913" w:type="dxa"/>
            <w:tcBorders>
              <w:top w:val="single" w:sz="4" w:space="0" w:color="auto"/>
              <w:left w:val="single" w:sz="4" w:space="0" w:color="auto"/>
              <w:bottom w:val="single" w:sz="4" w:space="0" w:color="auto"/>
              <w:right w:val="single" w:sz="4" w:space="0" w:color="auto"/>
            </w:tcBorders>
          </w:tcPr>
          <w:p w14:paraId="72895B6E" w14:textId="77777777" w:rsidR="00CF79D6" w:rsidRPr="00F55C1D" w:rsidRDefault="00CF79D6" w:rsidP="00A54905">
            <w:pPr>
              <w:contextualSpacing/>
            </w:pPr>
            <w:r w:rsidRPr="00F55C1D">
              <w:t>3.0</w:t>
            </w:r>
          </w:p>
        </w:tc>
        <w:tc>
          <w:tcPr>
            <w:tcW w:w="1137" w:type="dxa"/>
            <w:tcBorders>
              <w:top w:val="single" w:sz="4" w:space="0" w:color="auto"/>
              <w:left w:val="single" w:sz="4" w:space="0" w:color="auto"/>
              <w:bottom w:val="single" w:sz="4" w:space="0" w:color="auto"/>
              <w:right w:val="single" w:sz="4" w:space="0" w:color="auto"/>
            </w:tcBorders>
            <w:noWrap/>
            <w:hideMark/>
          </w:tcPr>
          <w:p w14:paraId="1A85731D" w14:textId="77777777" w:rsidR="00CF79D6" w:rsidRPr="00F55C1D" w:rsidRDefault="00A54905" w:rsidP="00A54905">
            <w:pPr>
              <w:contextualSpacing/>
              <w:rPr>
                <w:bCs/>
              </w:rPr>
            </w:pPr>
            <w:r w:rsidRPr="00F55C1D">
              <w:t>0.001</w:t>
            </w:r>
          </w:p>
        </w:tc>
      </w:tr>
      <w:tr w:rsidR="00CF79D6" w:rsidRPr="00151A54" w14:paraId="5DD31778" w14:textId="77777777" w:rsidTr="001E6380">
        <w:trPr>
          <w:trHeight w:val="113"/>
        </w:trPr>
        <w:tc>
          <w:tcPr>
            <w:tcW w:w="1648" w:type="dxa"/>
            <w:tcBorders>
              <w:top w:val="single" w:sz="4" w:space="0" w:color="auto"/>
              <w:left w:val="single" w:sz="4" w:space="0" w:color="auto"/>
              <w:bottom w:val="single" w:sz="4" w:space="0" w:color="auto"/>
              <w:right w:val="single" w:sz="4" w:space="0" w:color="auto"/>
            </w:tcBorders>
            <w:noWrap/>
            <w:hideMark/>
          </w:tcPr>
          <w:p w14:paraId="207DCBB1" w14:textId="77777777" w:rsidR="00CF79D6" w:rsidRPr="00F55C1D" w:rsidRDefault="00CF79D6" w:rsidP="00A54905">
            <w:pPr>
              <w:ind w:firstLine="709"/>
              <w:contextualSpacing/>
              <w:rPr>
                <w:b/>
                <w:bCs/>
              </w:rPr>
            </w:pPr>
            <w:r w:rsidRPr="00F55C1D">
              <w:rPr>
                <w:bCs/>
                <w:color w:val="000000"/>
              </w:rPr>
              <w:t xml:space="preserve">1 </w:t>
            </w:r>
            <w:proofErr w:type="spellStart"/>
            <w:r w:rsidRPr="00F55C1D">
              <w:rPr>
                <w:bCs/>
                <w:color w:val="000000"/>
              </w:rPr>
              <w:t>day</w:t>
            </w:r>
            <w:proofErr w:type="spellEnd"/>
          </w:p>
        </w:tc>
        <w:tc>
          <w:tcPr>
            <w:tcW w:w="1281" w:type="dxa"/>
            <w:gridSpan w:val="2"/>
            <w:tcBorders>
              <w:top w:val="single" w:sz="4" w:space="0" w:color="auto"/>
              <w:left w:val="single" w:sz="4" w:space="0" w:color="auto"/>
              <w:bottom w:val="single" w:sz="4" w:space="0" w:color="auto"/>
              <w:right w:val="single" w:sz="4" w:space="0" w:color="auto"/>
            </w:tcBorders>
            <w:noWrap/>
            <w:hideMark/>
          </w:tcPr>
          <w:p w14:paraId="14FC061E" w14:textId="77777777" w:rsidR="00CF79D6" w:rsidRPr="00F55C1D" w:rsidRDefault="00CF79D6" w:rsidP="00A54905">
            <w:pPr>
              <w:contextualSpacing/>
              <w:rPr>
                <w:color w:val="000000"/>
              </w:rPr>
            </w:pPr>
            <w:r w:rsidRPr="00F55C1D">
              <w:rPr>
                <w:color w:val="000000"/>
              </w:rPr>
              <w:t>57.06</w:t>
            </w:r>
          </w:p>
        </w:tc>
        <w:tc>
          <w:tcPr>
            <w:tcW w:w="1217" w:type="dxa"/>
            <w:gridSpan w:val="2"/>
            <w:tcBorders>
              <w:top w:val="single" w:sz="4" w:space="0" w:color="auto"/>
              <w:left w:val="single" w:sz="4" w:space="0" w:color="auto"/>
              <w:bottom w:val="single" w:sz="4" w:space="0" w:color="auto"/>
              <w:right w:val="single" w:sz="4" w:space="0" w:color="auto"/>
            </w:tcBorders>
          </w:tcPr>
          <w:p w14:paraId="238364F2" w14:textId="77777777" w:rsidR="00CF79D6" w:rsidRPr="00F55C1D" w:rsidRDefault="00CF79D6" w:rsidP="00A54905">
            <w:pPr>
              <w:contextualSpacing/>
              <w:rPr>
                <w:color w:val="000000"/>
              </w:rPr>
            </w:pPr>
            <w:r w:rsidRPr="00F55C1D">
              <w:t>42.88</w:t>
            </w:r>
          </w:p>
        </w:tc>
        <w:tc>
          <w:tcPr>
            <w:tcW w:w="1414" w:type="dxa"/>
            <w:tcBorders>
              <w:top w:val="single" w:sz="4" w:space="0" w:color="auto"/>
              <w:left w:val="single" w:sz="4" w:space="0" w:color="auto"/>
              <w:bottom w:val="single" w:sz="4" w:space="0" w:color="auto"/>
              <w:right w:val="single" w:sz="4" w:space="0" w:color="auto"/>
            </w:tcBorders>
          </w:tcPr>
          <w:p w14:paraId="02C46CA9" w14:textId="77777777" w:rsidR="00CF79D6" w:rsidRPr="00F55C1D" w:rsidRDefault="00CF79D6" w:rsidP="00A54905">
            <w:pPr>
              <w:contextualSpacing/>
              <w:rPr>
                <w:color w:val="000000"/>
              </w:rPr>
            </w:pPr>
            <w:r w:rsidRPr="00F55C1D">
              <w:rPr>
                <w:color w:val="000000"/>
              </w:rPr>
              <w:t>35.21</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44895394" w14:textId="77777777" w:rsidR="00CF79D6" w:rsidRPr="00F55C1D" w:rsidRDefault="00CF79D6" w:rsidP="00A54905">
            <w:pPr>
              <w:contextualSpacing/>
            </w:pPr>
            <w:r w:rsidRPr="00F55C1D">
              <w:t>40.18</w:t>
            </w:r>
          </w:p>
        </w:tc>
        <w:tc>
          <w:tcPr>
            <w:tcW w:w="1913" w:type="dxa"/>
            <w:tcBorders>
              <w:top w:val="single" w:sz="4" w:space="0" w:color="auto"/>
              <w:left w:val="single" w:sz="4" w:space="0" w:color="auto"/>
              <w:bottom w:val="single" w:sz="4" w:space="0" w:color="auto"/>
              <w:right w:val="single" w:sz="4" w:space="0" w:color="auto"/>
            </w:tcBorders>
          </w:tcPr>
          <w:p w14:paraId="635839D8" w14:textId="77777777" w:rsidR="00CF79D6" w:rsidRPr="00F55C1D" w:rsidRDefault="00CF79D6" w:rsidP="00A54905">
            <w:pPr>
              <w:contextualSpacing/>
            </w:pPr>
            <w:r w:rsidRPr="00F55C1D">
              <w:t>7.0</w:t>
            </w:r>
          </w:p>
        </w:tc>
        <w:tc>
          <w:tcPr>
            <w:tcW w:w="1137" w:type="dxa"/>
            <w:tcBorders>
              <w:top w:val="single" w:sz="4" w:space="0" w:color="auto"/>
              <w:left w:val="single" w:sz="4" w:space="0" w:color="auto"/>
              <w:bottom w:val="single" w:sz="4" w:space="0" w:color="auto"/>
              <w:right w:val="single" w:sz="4" w:space="0" w:color="auto"/>
            </w:tcBorders>
            <w:noWrap/>
            <w:hideMark/>
          </w:tcPr>
          <w:p w14:paraId="4AB00596" w14:textId="77777777" w:rsidR="00CF79D6" w:rsidRPr="00F55C1D" w:rsidRDefault="00A54905" w:rsidP="00A54905">
            <w:pPr>
              <w:contextualSpacing/>
              <w:rPr>
                <w:bCs/>
              </w:rPr>
            </w:pPr>
            <w:r w:rsidRPr="00F55C1D">
              <w:t>0.003</w:t>
            </w:r>
          </w:p>
        </w:tc>
      </w:tr>
      <w:tr w:rsidR="00CF79D6" w:rsidRPr="00151A54" w14:paraId="485E466E" w14:textId="77777777" w:rsidTr="001E6380">
        <w:trPr>
          <w:trHeight w:val="113"/>
        </w:trPr>
        <w:tc>
          <w:tcPr>
            <w:tcW w:w="1648" w:type="dxa"/>
            <w:tcBorders>
              <w:top w:val="single" w:sz="4" w:space="0" w:color="auto"/>
              <w:left w:val="single" w:sz="4" w:space="0" w:color="auto"/>
              <w:bottom w:val="single" w:sz="4" w:space="0" w:color="auto"/>
              <w:right w:val="single" w:sz="4" w:space="0" w:color="auto"/>
            </w:tcBorders>
            <w:noWrap/>
            <w:hideMark/>
          </w:tcPr>
          <w:p w14:paraId="0638377B" w14:textId="77777777" w:rsidR="00CF79D6" w:rsidRPr="00F55C1D" w:rsidRDefault="00CF79D6" w:rsidP="00A54905">
            <w:pPr>
              <w:ind w:firstLine="709"/>
              <w:contextualSpacing/>
              <w:rPr>
                <w:b/>
                <w:bCs/>
              </w:rPr>
            </w:pPr>
            <w:r w:rsidRPr="00F55C1D">
              <w:rPr>
                <w:bCs/>
                <w:color w:val="000000"/>
              </w:rPr>
              <w:t xml:space="preserve">2 </w:t>
            </w:r>
            <w:proofErr w:type="spellStart"/>
            <w:r w:rsidRPr="00F55C1D">
              <w:rPr>
                <w:bCs/>
                <w:color w:val="000000"/>
              </w:rPr>
              <w:t>day</w:t>
            </w:r>
            <w:proofErr w:type="spellEnd"/>
          </w:p>
        </w:tc>
        <w:tc>
          <w:tcPr>
            <w:tcW w:w="1281" w:type="dxa"/>
            <w:gridSpan w:val="2"/>
            <w:tcBorders>
              <w:top w:val="single" w:sz="4" w:space="0" w:color="auto"/>
              <w:left w:val="single" w:sz="4" w:space="0" w:color="auto"/>
              <w:bottom w:val="single" w:sz="4" w:space="0" w:color="auto"/>
              <w:right w:val="single" w:sz="4" w:space="0" w:color="auto"/>
            </w:tcBorders>
            <w:noWrap/>
            <w:hideMark/>
          </w:tcPr>
          <w:p w14:paraId="35B517D7" w14:textId="77777777" w:rsidR="00CF79D6" w:rsidRPr="00F55C1D" w:rsidRDefault="00CF79D6" w:rsidP="00A54905">
            <w:pPr>
              <w:contextualSpacing/>
              <w:rPr>
                <w:color w:val="000000"/>
              </w:rPr>
            </w:pPr>
            <w:r w:rsidRPr="00F55C1D">
              <w:rPr>
                <w:color w:val="000000"/>
              </w:rPr>
              <w:t>56.89</w:t>
            </w:r>
          </w:p>
        </w:tc>
        <w:tc>
          <w:tcPr>
            <w:tcW w:w="1217" w:type="dxa"/>
            <w:gridSpan w:val="2"/>
            <w:tcBorders>
              <w:top w:val="single" w:sz="4" w:space="0" w:color="auto"/>
              <w:left w:val="single" w:sz="4" w:space="0" w:color="auto"/>
              <w:bottom w:val="single" w:sz="4" w:space="0" w:color="auto"/>
              <w:right w:val="single" w:sz="4" w:space="0" w:color="auto"/>
            </w:tcBorders>
          </w:tcPr>
          <w:p w14:paraId="7F6068BF" w14:textId="77777777" w:rsidR="00CF79D6" w:rsidRPr="00F55C1D" w:rsidRDefault="00CF79D6" w:rsidP="00A54905">
            <w:pPr>
              <w:contextualSpacing/>
              <w:rPr>
                <w:color w:val="000000"/>
              </w:rPr>
            </w:pPr>
            <w:r w:rsidRPr="00F55C1D">
              <w:t>23.36</w:t>
            </w:r>
          </w:p>
        </w:tc>
        <w:tc>
          <w:tcPr>
            <w:tcW w:w="1414" w:type="dxa"/>
            <w:tcBorders>
              <w:top w:val="single" w:sz="4" w:space="0" w:color="auto"/>
              <w:left w:val="single" w:sz="4" w:space="0" w:color="auto"/>
              <w:bottom w:val="single" w:sz="4" w:space="0" w:color="auto"/>
              <w:right w:val="single" w:sz="4" w:space="0" w:color="auto"/>
            </w:tcBorders>
          </w:tcPr>
          <w:p w14:paraId="309F58D4" w14:textId="77777777" w:rsidR="00CF79D6" w:rsidRPr="00F55C1D" w:rsidRDefault="00CF79D6" w:rsidP="00A54905">
            <w:pPr>
              <w:contextualSpacing/>
              <w:rPr>
                <w:color w:val="000000"/>
              </w:rPr>
            </w:pPr>
            <w:r w:rsidRPr="00F55C1D">
              <w:rPr>
                <w:color w:val="000000"/>
              </w:rPr>
              <w:t>29.95</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6C1F9727" w14:textId="77777777" w:rsidR="00CF79D6" w:rsidRPr="00F55C1D" w:rsidRDefault="00CF79D6" w:rsidP="00A54905">
            <w:pPr>
              <w:contextualSpacing/>
            </w:pPr>
            <w:r w:rsidRPr="00F55C1D">
              <w:t>4.49</w:t>
            </w:r>
          </w:p>
        </w:tc>
        <w:tc>
          <w:tcPr>
            <w:tcW w:w="1913" w:type="dxa"/>
            <w:tcBorders>
              <w:top w:val="single" w:sz="4" w:space="0" w:color="auto"/>
              <w:left w:val="single" w:sz="4" w:space="0" w:color="auto"/>
              <w:bottom w:val="single" w:sz="4" w:space="0" w:color="auto"/>
              <w:right w:val="single" w:sz="4" w:space="0" w:color="auto"/>
            </w:tcBorders>
          </w:tcPr>
          <w:p w14:paraId="12F6A0B7" w14:textId="77777777" w:rsidR="00CF79D6" w:rsidRPr="00F55C1D" w:rsidRDefault="00CF79D6" w:rsidP="00A54905">
            <w:pPr>
              <w:contextualSpacing/>
            </w:pPr>
            <w:r w:rsidRPr="00F55C1D">
              <w:t>15.0</w:t>
            </w:r>
          </w:p>
        </w:tc>
        <w:tc>
          <w:tcPr>
            <w:tcW w:w="1137" w:type="dxa"/>
            <w:tcBorders>
              <w:top w:val="single" w:sz="4" w:space="0" w:color="auto"/>
              <w:left w:val="single" w:sz="4" w:space="0" w:color="auto"/>
              <w:bottom w:val="single" w:sz="4" w:space="0" w:color="auto"/>
              <w:right w:val="single" w:sz="4" w:space="0" w:color="auto"/>
            </w:tcBorders>
            <w:noWrap/>
            <w:hideMark/>
          </w:tcPr>
          <w:p w14:paraId="1A80558A" w14:textId="77777777" w:rsidR="00CF79D6" w:rsidRPr="00F55C1D" w:rsidRDefault="00A54905" w:rsidP="00A54905">
            <w:pPr>
              <w:contextualSpacing/>
              <w:rPr>
                <w:bCs/>
              </w:rPr>
            </w:pPr>
            <w:r w:rsidRPr="00F55C1D">
              <w:t>0.007</w:t>
            </w:r>
          </w:p>
        </w:tc>
      </w:tr>
      <w:tr w:rsidR="00CF79D6" w:rsidRPr="00151A54" w14:paraId="66E4E797" w14:textId="77777777" w:rsidTr="001E6380">
        <w:trPr>
          <w:trHeight w:val="113"/>
        </w:trPr>
        <w:tc>
          <w:tcPr>
            <w:tcW w:w="1648" w:type="dxa"/>
            <w:tcBorders>
              <w:top w:val="single" w:sz="4" w:space="0" w:color="auto"/>
              <w:left w:val="single" w:sz="4" w:space="0" w:color="auto"/>
              <w:bottom w:val="single" w:sz="4" w:space="0" w:color="auto"/>
              <w:right w:val="single" w:sz="4" w:space="0" w:color="auto"/>
            </w:tcBorders>
            <w:noWrap/>
          </w:tcPr>
          <w:p w14:paraId="63C0C5BF" w14:textId="77777777" w:rsidR="00CF79D6" w:rsidRPr="00F55C1D" w:rsidRDefault="00CF79D6" w:rsidP="00A54905">
            <w:pPr>
              <w:ind w:firstLine="709"/>
              <w:contextualSpacing/>
              <w:rPr>
                <w:bCs/>
                <w:color w:val="000000"/>
              </w:rPr>
            </w:pPr>
            <w:r w:rsidRPr="00F55C1D">
              <w:rPr>
                <w:bCs/>
                <w:color w:val="000000"/>
              </w:rPr>
              <w:t xml:space="preserve">3 </w:t>
            </w:r>
            <w:proofErr w:type="spellStart"/>
            <w:r w:rsidRPr="00F55C1D">
              <w:rPr>
                <w:bCs/>
                <w:color w:val="000000"/>
              </w:rPr>
              <w:t>day</w:t>
            </w:r>
            <w:proofErr w:type="spellEnd"/>
          </w:p>
        </w:tc>
        <w:tc>
          <w:tcPr>
            <w:tcW w:w="1281" w:type="dxa"/>
            <w:gridSpan w:val="2"/>
            <w:tcBorders>
              <w:top w:val="single" w:sz="4" w:space="0" w:color="auto"/>
              <w:left w:val="single" w:sz="4" w:space="0" w:color="auto"/>
              <w:bottom w:val="single" w:sz="4" w:space="0" w:color="auto"/>
              <w:right w:val="single" w:sz="4" w:space="0" w:color="auto"/>
            </w:tcBorders>
            <w:noWrap/>
          </w:tcPr>
          <w:p w14:paraId="756F1DC7" w14:textId="77777777" w:rsidR="00CF79D6" w:rsidRPr="00F55C1D" w:rsidRDefault="00CF79D6" w:rsidP="00A54905">
            <w:pPr>
              <w:contextualSpacing/>
              <w:rPr>
                <w:color w:val="000000"/>
              </w:rPr>
            </w:pPr>
            <w:r w:rsidRPr="00F55C1D">
              <w:rPr>
                <w:color w:val="000000"/>
              </w:rPr>
              <w:t>34.20</w:t>
            </w:r>
          </w:p>
        </w:tc>
        <w:tc>
          <w:tcPr>
            <w:tcW w:w="1217" w:type="dxa"/>
            <w:gridSpan w:val="2"/>
            <w:tcBorders>
              <w:top w:val="single" w:sz="4" w:space="0" w:color="auto"/>
              <w:left w:val="single" w:sz="4" w:space="0" w:color="auto"/>
              <w:bottom w:val="single" w:sz="4" w:space="0" w:color="auto"/>
              <w:right w:val="single" w:sz="4" w:space="0" w:color="auto"/>
            </w:tcBorders>
          </w:tcPr>
          <w:p w14:paraId="42D662FD" w14:textId="77777777" w:rsidR="00CF79D6" w:rsidRPr="00F55C1D" w:rsidRDefault="00CF79D6" w:rsidP="00A54905">
            <w:pPr>
              <w:contextualSpacing/>
              <w:rPr>
                <w:color w:val="000000"/>
              </w:rPr>
            </w:pPr>
            <w:r w:rsidRPr="00F55C1D">
              <w:t>2.07</w:t>
            </w:r>
          </w:p>
        </w:tc>
        <w:tc>
          <w:tcPr>
            <w:tcW w:w="1414" w:type="dxa"/>
            <w:tcBorders>
              <w:top w:val="single" w:sz="4" w:space="0" w:color="auto"/>
              <w:left w:val="single" w:sz="4" w:space="0" w:color="auto"/>
              <w:bottom w:val="single" w:sz="4" w:space="0" w:color="auto"/>
              <w:right w:val="single" w:sz="4" w:space="0" w:color="auto"/>
            </w:tcBorders>
          </w:tcPr>
          <w:p w14:paraId="35A05BF4" w14:textId="77777777" w:rsidR="00CF79D6" w:rsidRPr="00F55C1D" w:rsidRDefault="00CF79D6" w:rsidP="00A54905">
            <w:pPr>
              <w:contextualSpacing/>
              <w:rPr>
                <w:color w:val="000000"/>
              </w:rPr>
            </w:pPr>
            <w:r w:rsidRPr="00F55C1D">
              <w:rPr>
                <w:color w:val="000000"/>
              </w:rPr>
              <w:t>23.1</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63F46386" w14:textId="77777777" w:rsidR="00CF79D6" w:rsidRPr="00F55C1D" w:rsidRDefault="00CF79D6" w:rsidP="00A54905">
            <w:pPr>
              <w:contextualSpacing/>
              <w:rPr>
                <w:color w:val="000000"/>
              </w:rPr>
            </w:pPr>
            <w:r w:rsidRPr="00F55C1D">
              <w:t>26.13</w:t>
            </w:r>
          </w:p>
        </w:tc>
        <w:tc>
          <w:tcPr>
            <w:tcW w:w="1913" w:type="dxa"/>
            <w:tcBorders>
              <w:top w:val="single" w:sz="4" w:space="0" w:color="auto"/>
              <w:left w:val="single" w:sz="4" w:space="0" w:color="auto"/>
              <w:bottom w:val="single" w:sz="4" w:space="0" w:color="auto"/>
              <w:right w:val="single" w:sz="4" w:space="0" w:color="auto"/>
            </w:tcBorders>
          </w:tcPr>
          <w:p w14:paraId="319AFB40" w14:textId="77777777" w:rsidR="00CF79D6" w:rsidRPr="00F55C1D" w:rsidRDefault="00CF79D6" w:rsidP="00A54905">
            <w:pPr>
              <w:contextualSpacing/>
              <w:rPr>
                <w:color w:val="000000"/>
              </w:rPr>
            </w:pPr>
            <w:r w:rsidRPr="00F55C1D">
              <w:rPr>
                <w:color w:val="000000"/>
              </w:rPr>
              <w:t>8.0</w:t>
            </w:r>
          </w:p>
        </w:tc>
        <w:tc>
          <w:tcPr>
            <w:tcW w:w="1137" w:type="dxa"/>
            <w:tcBorders>
              <w:top w:val="single" w:sz="4" w:space="0" w:color="auto"/>
              <w:left w:val="single" w:sz="4" w:space="0" w:color="auto"/>
              <w:bottom w:val="single" w:sz="4" w:space="0" w:color="auto"/>
              <w:right w:val="single" w:sz="4" w:space="0" w:color="auto"/>
            </w:tcBorders>
            <w:noWrap/>
          </w:tcPr>
          <w:p w14:paraId="21A58B7C" w14:textId="77777777" w:rsidR="00CF79D6" w:rsidRPr="00F55C1D" w:rsidRDefault="00A54905" w:rsidP="00A54905">
            <w:pPr>
              <w:contextualSpacing/>
              <w:rPr>
                <w:bCs/>
              </w:rPr>
            </w:pPr>
            <w:r w:rsidRPr="00F55C1D">
              <w:t>0.002</w:t>
            </w:r>
          </w:p>
        </w:tc>
      </w:tr>
      <w:tr w:rsidR="00CF79D6" w:rsidRPr="00151A54" w14:paraId="4791C413" w14:textId="77777777" w:rsidTr="001E6380">
        <w:trPr>
          <w:trHeight w:val="113"/>
        </w:trPr>
        <w:tc>
          <w:tcPr>
            <w:tcW w:w="1648" w:type="dxa"/>
            <w:tcBorders>
              <w:top w:val="single" w:sz="4" w:space="0" w:color="auto"/>
              <w:left w:val="single" w:sz="4" w:space="0" w:color="auto"/>
              <w:bottom w:val="single" w:sz="4" w:space="0" w:color="auto"/>
              <w:right w:val="single" w:sz="4" w:space="0" w:color="auto"/>
            </w:tcBorders>
            <w:noWrap/>
            <w:hideMark/>
          </w:tcPr>
          <w:p w14:paraId="769579FF" w14:textId="77777777" w:rsidR="00CF79D6" w:rsidRPr="00F55C1D" w:rsidRDefault="00CF79D6" w:rsidP="00A54905">
            <w:pPr>
              <w:ind w:firstLine="709"/>
              <w:contextualSpacing/>
              <w:rPr>
                <w:b/>
                <w:bCs/>
              </w:rPr>
            </w:pPr>
            <w:r w:rsidRPr="00F55C1D">
              <w:rPr>
                <w:bCs/>
                <w:color w:val="000000"/>
              </w:rPr>
              <w:t xml:space="preserve">4 </w:t>
            </w:r>
            <w:proofErr w:type="spellStart"/>
            <w:r w:rsidRPr="00F55C1D">
              <w:rPr>
                <w:bCs/>
                <w:color w:val="000000"/>
              </w:rPr>
              <w:t>day</w:t>
            </w:r>
            <w:proofErr w:type="spellEnd"/>
          </w:p>
        </w:tc>
        <w:tc>
          <w:tcPr>
            <w:tcW w:w="1281" w:type="dxa"/>
            <w:gridSpan w:val="2"/>
            <w:tcBorders>
              <w:top w:val="single" w:sz="4" w:space="0" w:color="auto"/>
              <w:left w:val="single" w:sz="4" w:space="0" w:color="auto"/>
              <w:bottom w:val="single" w:sz="4" w:space="0" w:color="auto"/>
              <w:right w:val="single" w:sz="4" w:space="0" w:color="auto"/>
            </w:tcBorders>
            <w:noWrap/>
            <w:hideMark/>
          </w:tcPr>
          <w:p w14:paraId="5F762C49" w14:textId="77777777" w:rsidR="00CF79D6" w:rsidRPr="00F55C1D" w:rsidRDefault="00CF79D6" w:rsidP="00A54905">
            <w:pPr>
              <w:contextualSpacing/>
              <w:rPr>
                <w:color w:val="000000"/>
              </w:rPr>
            </w:pPr>
            <w:r w:rsidRPr="00F55C1D">
              <w:rPr>
                <w:color w:val="000000"/>
              </w:rPr>
              <w:t>29.12</w:t>
            </w:r>
          </w:p>
        </w:tc>
        <w:tc>
          <w:tcPr>
            <w:tcW w:w="1217" w:type="dxa"/>
            <w:gridSpan w:val="2"/>
            <w:tcBorders>
              <w:top w:val="single" w:sz="4" w:space="0" w:color="auto"/>
              <w:left w:val="single" w:sz="4" w:space="0" w:color="auto"/>
              <w:bottom w:val="single" w:sz="4" w:space="0" w:color="auto"/>
              <w:right w:val="single" w:sz="4" w:space="0" w:color="auto"/>
            </w:tcBorders>
          </w:tcPr>
          <w:p w14:paraId="538DE813" w14:textId="77777777" w:rsidR="00CF79D6" w:rsidRPr="00F55C1D" w:rsidRDefault="00CF79D6" w:rsidP="00A54905">
            <w:pPr>
              <w:contextualSpacing/>
              <w:rPr>
                <w:color w:val="000000"/>
              </w:rPr>
            </w:pPr>
            <w:r w:rsidRPr="00F55C1D">
              <w:t>30.39</w:t>
            </w:r>
          </w:p>
        </w:tc>
        <w:tc>
          <w:tcPr>
            <w:tcW w:w="1414" w:type="dxa"/>
            <w:tcBorders>
              <w:top w:val="single" w:sz="4" w:space="0" w:color="auto"/>
              <w:left w:val="single" w:sz="4" w:space="0" w:color="auto"/>
              <w:bottom w:val="single" w:sz="4" w:space="0" w:color="auto"/>
              <w:right w:val="single" w:sz="4" w:space="0" w:color="auto"/>
            </w:tcBorders>
          </w:tcPr>
          <w:p w14:paraId="060D0EE7" w14:textId="77777777" w:rsidR="00CF79D6" w:rsidRPr="00F55C1D" w:rsidRDefault="00CF79D6" w:rsidP="00A54905">
            <w:pPr>
              <w:contextualSpacing/>
              <w:rPr>
                <w:color w:val="000000"/>
              </w:rPr>
            </w:pPr>
            <w:r w:rsidRPr="00F55C1D">
              <w:rPr>
                <w:color w:val="000000"/>
              </w:rPr>
              <w:t>21.55</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3E0159E8" w14:textId="77777777" w:rsidR="00CF79D6" w:rsidRPr="00F55C1D" w:rsidRDefault="00CF79D6" w:rsidP="00A54905">
            <w:pPr>
              <w:contextualSpacing/>
            </w:pPr>
            <w:r w:rsidRPr="00F55C1D">
              <w:t>3.03</w:t>
            </w:r>
          </w:p>
        </w:tc>
        <w:tc>
          <w:tcPr>
            <w:tcW w:w="1913" w:type="dxa"/>
            <w:tcBorders>
              <w:top w:val="single" w:sz="4" w:space="0" w:color="auto"/>
              <w:left w:val="single" w:sz="4" w:space="0" w:color="auto"/>
              <w:bottom w:val="single" w:sz="4" w:space="0" w:color="auto"/>
              <w:right w:val="single" w:sz="4" w:space="0" w:color="auto"/>
            </w:tcBorders>
          </w:tcPr>
          <w:p w14:paraId="54E2F6A4" w14:textId="77777777" w:rsidR="00CF79D6" w:rsidRPr="00F55C1D" w:rsidRDefault="00CF79D6" w:rsidP="00A54905">
            <w:pPr>
              <w:contextualSpacing/>
            </w:pPr>
            <w:r w:rsidRPr="00F55C1D">
              <w:t>5.0</w:t>
            </w:r>
          </w:p>
        </w:tc>
        <w:tc>
          <w:tcPr>
            <w:tcW w:w="1137" w:type="dxa"/>
            <w:tcBorders>
              <w:top w:val="single" w:sz="4" w:space="0" w:color="auto"/>
              <w:left w:val="single" w:sz="4" w:space="0" w:color="auto"/>
              <w:bottom w:val="single" w:sz="4" w:space="0" w:color="auto"/>
              <w:right w:val="single" w:sz="4" w:space="0" w:color="auto"/>
            </w:tcBorders>
            <w:noWrap/>
            <w:hideMark/>
          </w:tcPr>
          <w:p w14:paraId="221CD7DB" w14:textId="77777777" w:rsidR="00CF79D6" w:rsidRPr="00F55C1D" w:rsidRDefault="00A54905" w:rsidP="00A54905">
            <w:pPr>
              <w:contextualSpacing/>
            </w:pPr>
            <w:r w:rsidRPr="00F55C1D">
              <w:t>0.001</w:t>
            </w:r>
          </w:p>
        </w:tc>
      </w:tr>
      <w:tr w:rsidR="00CF79D6" w:rsidRPr="00151A54" w14:paraId="3E9B30BB" w14:textId="77777777" w:rsidTr="001E6380">
        <w:trPr>
          <w:trHeight w:val="113"/>
        </w:trPr>
        <w:tc>
          <w:tcPr>
            <w:tcW w:w="1648" w:type="dxa"/>
            <w:tcBorders>
              <w:top w:val="single" w:sz="4" w:space="0" w:color="auto"/>
              <w:left w:val="single" w:sz="4" w:space="0" w:color="auto"/>
              <w:bottom w:val="single" w:sz="4" w:space="0" w:color="auto"/>
              <w:right w:val="single" w:sz="4" w:space="0" w:color="auto"/>
            </w:tcBorders>
            <w:noWrap/>
          </w:tcPr>
          <w:p w14:paraId="3E1BECBC" w14:textId="77777777" w:rsidR="00CF79D6" w:rsidRPr="00F55C1D" w:rsidRDefault="00CF79D6" w:rsidP="00A54905">
            <w:pPr>
              <w:ind w:firstLine="709"/>
              <w:contextualSpacing/>
              <w:rPr>
                <w:bCs/>
                <w:color w:val="000000"/>
              </w:rPr>
            </w:pPr>
            <w:r w:rsidRPr="00F55C1D">
              <w:rPr>
                <w:bCs/>
                <w:color w:val="000000"/>
              </w:rPr>
              <w:t xml:space="preserve">5 </w:t>
            </w:r>
            <w:proofErr w:type="spellStart"/>
            <w:r w:rsidRPr="00F55C1D">
              <w:rPr>
                <w:bCs/>
                <w:color w:val="000000"/>
              </w:rPr>
              <w:t>days</w:t>
            </w:r>
            <w:proofErr w:type="spellEnd"/>
          </w:p>
        </w:tc>
        <w:tc>
          <w:tcPr>
            <w:tcW w:w="1281" w:type="dxa"/>
            <w:gridSpan w:val="2"/>
            <w:tcBorders>
              <w:top w:val="single" w:sz="4" w:space="0" w:color="auto"/>
              <w:left w:val="single" w:sz="4" w:space="0" w:color="auto"/>
              <w:bottom w:val="single" w:sz="4" w:space="0" w:color="auto"/>
              <w:right w:val="single" w:sz="4" w:space="0" w:color="auto"/>
            </w:tcBorders>
            <w:noWrap/>
          </w:tcPr>
          <w:p w14:paraId="5055CE59" w14:textId="77777777" w:rsidR="00CF79D6" w:rsidRPr="00F55C1D" w:rsidRDefault="00CF79D6" w:rsidP="00A54905">
            <w:pPr>
              <w:contextualSpacing/>
              <w:rPr>
                <w:color w:val="000000"/>
              </w:rPr>
            </w:pPr>
            <w:r w:rsidRPr="00F55C1D">
              <w:rPr>
                <w:color w:val="000000"/>
              </w:rPr>
              <w:t>21.55</w:t>
            </w:r>
          </w:p>
        </w:tc>
        <w:tc>
          <w:tcPr>
            <w:tcW w:w="1217" w:type="dxa"/>
            <w:gridSpan w:val="2"/>
            <w:tcBorders>
              <w:top w:val="single" w:sz="4" w:space="0" w:color="auto"/>
              <w:left w:val="single" w:sz="4" w:space="0" w:color="auto"/>
              <w:bottom w:val="single" w:sz="4" w:space="0" w:color="auto"/>
              <w:right w:val="single" w:sz="4" w:space="0" w:color="auto"/>
            </w:tcBorders>
          </w:tcPr>
          <w:p w14:paraId="06DA154F" w14:textId="77777777" w:rsidR="00CF79D6" w:rsidRPr="00F55C1D" w:rsidRDefault="00CF79D6" w:rsidP="00A54905">
            <w:pPr>
              <w:contextualSpacing/>
              <w:rPr>
                <w:color w:val="000000"/>
              </w:rPr>
            </w:pPr>
            <w:r w:rsidRPr="00F55C1D">
              <w:rPr>
                <w:bCs/>
              </w:rPr>
              <w:t>3.03</w:t>
            </w:r>
          </w:p>
        </w:tc>
        <w:tc>
          <w:tcPr>
            <w:tcW w:w="1414" w:type="dxa"/>
            <w:tcBorders>
              <w:top w:val="single" w:sz="4" w:space="0" w:color="auto"/>
              <w:left w:val="single" w:sz="4" w:space="0" w:color="auto"/>
              <w:bottom w:val="single" w:sz="4" w:space="0" w:color="auto"/>
              <w:right w:val="single" w:sz="4" w:space="0" w:color="auto"/>
            </w:tcBorders>
          </w:tcPr>
          <w:p w14:paraId="77703D88" w14:textId="77777777" w:rsidR="00CF79D6" w:rsidRPr="00F55C1D" w:rsidRDefault="00CF79D6" w:rsidP="00A54905">
            <w:pPr>
              <w:contextualSpacing/>
              <w:rPr>
                <w:color w:val="000000"/>
              </w:rPr>
            </w:pPr>
            <w:r w:rsidRPr="00F55C1D">
              <w:rPr>
                <w:color w:val="000000"/>
              </w:rPr>
              <w:t>19.57</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27F56F56" w14:textId="77777777" w:rsidR="00CF79D6" w:rsidRPr="00F55C1D" w:rsidRDefault="00CF79D6" w:rsidP="00A54905">
            <w:pPr>
              <w:contextualSpacing/>
            </w:pPr>
            <w:r w:rsidRPr="00F55C1D">
              <w:t>12.88</w:t>
            </w:r>
          </w:p>
        </w:tc>
        <w:tc>
          <w:tcPr>
            <w:tcW w:w="1913" w:type="dxa"/>
            <w:tcBorders>
              <w:top w:val="single" w:sz="4" w:space="0" w:color="auto"/>
              <w:left w:val="single" w:sz="4" w:space="0" w:color="auto"/>
              <w:bottom w:val="single" w:sz="4" w:space="0" w:color="auto"/>
              <w:right w:val="single" w:sz="4" w:space="0" w:color="auto"/>
            </w:tcBorders>
          </w:tcPr>
          <w:p w14:paraId="0DBD037F" w14:textId="77777777" w:rsidR="00CF79D6" w:rsidRPr="00F55C1D" w:rsidRDefault="00CF79D6" w:rsidP="00A54905">
            <w:pPr>
              <w:contextualSpacing/>
            </w:pPr>
            <w:r w:rsidRPr="00F55C1D">
              <w:t>20.0</w:t>
            </w:r>
          </w:p>
        </w:tc>
        <w:tc>
          <w:tcPr>
            <w:tcW w:w="1137" w:type="dxa"/>
            <w:tcBorders>
              <w:top w:val="single" w:sz="4" w:space="0" w:color="auto"/>
              <w:left w:val="single" w:sz="4" w:space="0" w:color="auto"/>
              <w:bottom w:val="single" w:sz="4" w:space="0" w:color="auto"/>
              <w:right w:val="single" w:sz="4" w:space="0" w:color="auto"/>
            </w:tcBorders>
            <w:noWrap/>
          </w:tcPr>
          <w:p w14:paraId="273BDD08" w14:textId="77777777" w:rsidR="00CF79D6" w:rsidRPr="00F55C1D" w:rsidRDefault="00A54905" w:rsidP="00A54905">
            <w:pPr>
              <w:contextualSpacing/>
            </w:pPr>
            <w:r w:rsidRPr="00F55C1D">
              <w:t>0.003</w:t>
            </w:r>
          </w:p>
        </w:tc>
      </w:tr>
      <w:tr w:rsidR="00CF79D6" w:rsidRPr="00151A54" w14:paraId="4B3B494A" w14:textId="77777777" w:rsidTr="001E6380">
        <w:trPr>
          <w:trHeight w:val="113"/>
        </w:trPr>
        <w:tc>
          <w:tcPr>
            <w:tcW w:w="1648" w:type="dxa"/>
            <w:tcBorders>
              <w:top w:val="single" w:sz="4" w:space="0" w:color="auto"/>
              <w:left w:val="single" w:sz="4" w:space="0" w:color="auto"/>
              <w:bottom w:val="single" w:sz="4" w:space="0" w:color="auto"/>
              <w:right w:val="single" w:sz="4" w:space="0" w:color="auto"/>
            </w:tcBorders>
            <w:noWrap/>
          </w:tcPr>
          <w:p w14:paraId="62A951F2" w14:textId="77777777" w:rsidR="00CF79D6" w:rsidRPr="00F55C1D" w:rsidRDefault="00CF79D6" w:rsidP="00A54905">
            <w:pPr>
              <w:ind w:firstLine="709"/>
              <w:contextualSpacing/>
              <w:rPr>
                <w:bCs/>
                <w:color w:val="000000"/>
              </w:rPr>
            </w:pPr>
            <w:r w:rsidRPr="00F55C1D">
              <w:rPr>
                <w:bCs/>
                <w:color w:val="000000"/>
              </w:rPr>
              <w:t xml:space="preserve">6 </w:t>
            </w:r>
            <w:proofErr w:type="spellStart"/>
            <w:r w:rsidRPr="00F55C1D">
              <w:rPr>
                <w:bCs/>
                <w:color w:val="000000"/>
              </w:rPr>
              <w:t>days</w:t>
            </w:r>
            <w:proofErr w:type="spellEnd"/>
          </w:p>
        </w:tc>
        <w:tc>
          <w:tcPr>
            <w:tcW w:w="1281" w:type="dxa"/>
            <w:gridSpan w:val="2"/>
            <w:tcBorders>
              <w:top w:val="single" w:sz="4" w:space="0" w:color="auto"/>
              <w:left w:val="single" w:sz="4" w:space="0" w:color="auto"/>
              <w:bottom w:val="single" w:sz="4" w:space="0" w:color="auto"/>
              <w:right w:val="single" w:sz="4" w:space="0" w:color="auto"/>
            </w:tcBorders>
            <w:noWrap/>
          </w:tcPr>
          <w:p w14:paraId="14B98CDB" w14:textId="77777777" w:rsidR="00CF79D6" w:rsidRPr="00F55C1D" w:rsidRDefault="00CF79D6" w:rsidP="00A54905">
            <w:pPr>
              <w:contextualSpacing/>
              <w:rPr>
                <w:color w:val="000000"/>
              </w:rPr>
            </w:pPr>
            <w:r w:rsidRPr="00F55C1D">
              <w:rPr>
                <w:color w:val="000000"/>
              </w:rPr>
              <w:t>11.19</w:t>
            </w:r>
          </w:p>
        </w:tc>
        <w:tc>
          <w:tcPr>
            <w:tcW w:w="1217" w:type="dxa"/>
            <w:gridSpan w:val="2"/>
            <w:tcBorders>
              <w:top w:val="single" w:sz="4" w:space="0" w:color="auto"/>
              <w:left w:val="single" w:sz="4" w:space="0" w:color="auto"/>
              <w:bottom w:val="single" w:sz="4" w:space="0" w:color="auto"/>
              <w:right w:val="single" w:sz="4" w:space="0" w:color="auto"/>
            </w:tcBorders>
          </w:tcPr>
          <w:p w14:paraId="2D5D5C2A" w14:textId="77777777" w:rsidR="00CF79D6" w:rsidRPr="00F55C1D" w:rsidRDefault="00CF79D6" w:rsidP="00A54905">
            <w:pPr>
              <w:contextualSpacing/>
              <w:rPr>
                <w:color w:val="000000"/>
              </w:rPr>
            </w:pPr>
            <w:r w:rsidRPr="00F55C1D">
              <w:t>1.30</w:t>
            </w:r>
          </w:p>
        </w:tc>
        <w:tc>
          <w:tcPr>
            <w:tcW w:w="1414" w:type="dxa"/>
            <w:tcBorders>
              <w:top w:val="single" w:sz="4" w:space="0" w:color="auto"/>
              <w:left w:val="single" w:sz="4" w:space="0" w:color="auto"/>
              <w:bottom w:val="single" w:sz="4" w:space="0" w:color="auto"/>
              <w:right w:val="single" w:sz="4" w:space="0" w:color="auto"/>
            </w:tcBorders>
          </w:tcPr>
          <w:p w14:paraId="71A59058" w14:textId="77777777" w:rsidR="00CF79D6" w:rsidRPr="00F55C1D" w:rsidRDefault="00CF79D6" w:rsidP="00A54905">
            <w:pPr>
              <w:contextualSpacing/>
              <w:rPr>
                <w:color w:val="000000"/>
              </w:rPr>
            </w:pPr>
            <w:r w:rsidRPr="00F55C1D">
              <w:rPr>
                <w:color w:val="000000"/>
              </w:rPr>
              <w:t>18.95</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779F7F0B" w14:textId="77777777" w:rsidR="00CF79D6" w:rsidRPr="00F55C1D" w:rsidRDefault="00CF79D6" w:rsidP="00A54905">
            <w:pPr>
              <w:contextualSpacing/>
            </w:pPr>
            <w:r w:rsidRPr="00F55C1D">
              <w:t>5.68</w:t>
            </w:r>
          </w:p>
        </w:tc>
        <w:tc>
          <w:tcPr>
            <w:tcW w:w="1913" w:type="dxa"/>
            <w:tcBorders>
              <w:top w:val="single" w:sz="4" w:space="0" w:color="auto"/>
              <w:left w:val="single" w:sz="4" w:space="0" w:color="auto"/>
              <w:bottom w:val="single" w:sz="4" w:space="0" w:color="auto"/>
              <w:right w:val="single" w:sz="4" w:space="0" w:color="auto"/>
            </w:tcBorders>
          </w:tcPr>
          <w:p w14:paraId="3CD9CB99" w14:textId="77777777" w:rsidR="00CF79D6" w:rsidRPr="00F55C1D" w:rsidRDefault="00CF79D6" w:rsidP="00A54905">
            <w:pPr>
              <w:contextualSpacing/>
            </w:pPr>
            <w:r w:rsidRPr="00F55C1D">
              <w:t>11.0</w:t>
            </w:r>
          </w:p>
        </w:tc>
        <w:tc>
          <w:tcPr>
            <w:tcW w:w="1137" w:type="dxa"/>
            <w:tcBorders>
              <w:top w:val="single" w:sz="4" w:space="0" w:color="auto"/>
              <w:left w:val="single" w:sz="4" w:space="0" w:color="auto"/>
              <w:bottom w:val="single" w:sz="4" w:space="0" w:color="auto"/>
              <w:right w:val="single" w:sz="4" w:space="0" w:color="auto"/>
            </w:tcBorders>
            <w:noWrap/>
          </w:tcPr>
          <w:p w14:paraId="0A647724" w14:textId="77777777" w:rsidR="00CF79D6" w:rsidRPr="00F55C1D" w:rsidRDefault="00A54905" w:rsidP="00A54905">
            <w:pPr>
              <w:contextualSpacing/>
            </w:pPr>
            <w:r w:rsidRPr="00F55C1D">
              <w:t>0.001</w:t>
            </w:r>
          </w:p>
        </w:tc>
      </w:tr>
      <w:tr w:rsidR="00CF79D6" w:rsidRPr="00151A54" w14:paraId="01812681" w14:textId="77777777" w:rsidTr="001E6380">
        <w:trPr>
          <w:trHeight w:val="113"/>
        </w:trPr>
        <w:tc>
          <w:tcPr>
            <w:tcW w:w="1648" w:type="dxa"/>
            <w:tcBorders>
              <w:top w:val="single" w:sz="4" w:space="0" w:color="auto"/>
              <w:left w:val="single" w:sz="4" w:space="0" w:color="auto"/>
              <w:bottom w:val="single" w:sz="4" w:space="0" w:color="auto"/>
              <w:right w:val="single" w:sz="4" w:space="0" w:color="auto"/>
            </w:tcBorders>
            <w:noWrap/>
          </w:tcPr>
          <w:p w14:paraId="3C7771FA" w14:textId="77777777" w:rsidR="00CF79D6" w:rsidRPr="00F55C1D" w:rsidRDefault="00CF79D6" w:rsidP="00A54905">
            <w:pPr>
              <w:ind w:firstLine="709"/>
              <w:contextualSpacing/>
              <w:rPr>
                <w:bCs/>
                <w:color w:val="000000"/>
              </w:rPr>
            </w:pPr>
            <w:r w:rsidRPr="00F55C1D">
              <w:rPr>
                <w:bCs/>
                <w:color w:val="000000"/>
              </w:rPr>
              <w:t xml:space="preserve">7 </w:t>
            </w:r>
            <w:proofErr w:type="spellStart"/>
            <w:r w:rsidRPr="00F55C1D">
              <w:rPr>
                <w:bCs/>
                <w:color w:val="000000"/>
              </w:rPr>
              <w:t>days</w:t>
            </w:r>
            <w:proofErr w:type="spellEnd"/>
          </w:p>
        </w:tc>
        <w:tc>
          <w:tcPr>
            <w:tcW w:w="1281" w:type="dxa"/>
            <w:gridSpan w:val="2"/>
            <w:tcBorders>
              <w:top w:val="single" w:sz="4" w:space="0" w:color="auto"/>
              <w:left w:val="single" w:sz="4" w:space="0" w:color="auto"/>
              <w:bottom w:val="single" w:sz="4" w:space="0" w:color="auto"/>
              <w:right w:val="single" w:sz="4" w:space="0" w:color="auto"/>
            </w:tcBorders>
            <w:noWrap/>
          </w:tcPr>
          <w:p w14:paraId="4D5C5258" w14:textId="77777777" w:rsidR="00CF79D6" w:rsidRPr="00F55C1D" w:rsidRDefault="00CF79D6" w:rsidP="00A54905">
            <w:pPr>
              <w:contextualSpacing/>
              <w:rPr>
                <w:color w:val="000000"/>
              </w:rPr>
            </w:pPr>
            <w:r w:rsidRPr="00F55C1D">
              <w:rPr>
                <w:color w:val="000000"/>
              </w:rPr>
              <w:t>5.02</w:t>
            </w:r>
          </w:p>
        </w:tc>
        <w:tc>
          <w:tcPr>
            <w:tcW w:w="1217" w:type="dxa"/>
            <w:gridSpan w:val="2"/>
            <w:tcBorders>
              <w:top w:val="single" w:sz="4" w:space="0" w:color="auto"/>
              <w:left w:val="single" w:sz="4" w:space="0" w:color="auto"/>
              <w:bottom w:val="single" w:sz="4" w:space="0" w:color="auto"/>
              <w:right w:val="single" w:sz="4" w:space="0" w:color="auto"/>
            </w:tcBorders>
          </w:tcPr>
          <w:p w14:paraId="69CFE198" w14:textId="77777777" w:rsidR="00CF79D6" w:rsidRPr="00F55C1D" w:rsidRDefault="00CF79D6" w:rsidP="00A54905">
            <w:pPr>
              <w:contextualSpacing/>
              <w:rPr>
                <w:color w:val="000000"/>
              </w:rPr>
            </w:pPr>
            <w:r w:rsidRPr="00F55C1D">
              <w:t>16.10</w:t>
            </w:r>
          </w:p>
        </w:tc>
        <w:tc>
          <w:tcPr>
            <w:tcW w:w="1414" w:type="dxa"/>
            <w:tcBorders>
              <w:top w:val="single" w:sz="4" w:space="0" w:color="auto"/>
              <w:left w:val="single" w:sz="4" w:space="0" w:color="auto"/>
              <w:bottom w:val="single" w:sz="4" w:space="0" w:color="auto"/>
              <w:right w:val="single" w:sz="4" w:space="0" w:color="auto"/>
            </w:tcBorders>
          </w:tcPr>
          <w:p w14:paraId="670E6613" w14:textId="77777777" w:rsidR="00CF79D6" w:rsidRPr="00F55C1D" w:rsidRDefault="00CF79D6" w:rsidP="00A54905">
            <w:pPr>
              <w:contextualSpacing/>
              <w:rPr>
                <w:color w:val="000000"/>
              </w:rPr>
            </w:pPr>
            <w:r w:rsidRPr="00F55C1D">
              <w:rPr>
                <w:color w:val="000000"/>
              </w:rPr>
              <w:t>17.41</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2E6EC949" w14:textId="77777777" w:rsidR="00CF79D6" w:rsidRPr="00F55C1D" w:rsidRDefault="00CF79D6" w:rsidP="00A54905">
            <w:pPr>
              <w:contextualSpacing/>
            </w:pPr>
            <w:r w:rsidRPr="00F55C1D">
              <w:t>14.00</w:t>
            </w:r>
          </w:p>
        </w:tc>
        <w:tc>
          <w:tcPr>
            <w:tcW w:w="1913" w:type="dxa"/>
            <w:tcBorders>
              <w:top w:val="single" w:sz="4" w:space="0" w:color="auto"/>
              <w:left w:val="single" w:sz="4" w:space="0" w:color="auto"/>
              <w:bottom w:val="single" w:sz="4" w:space="0" w:color="auto"/>
              <w:right w:val="single" w:sz="4" w:space="0" w:color="auto"/>
            </w:tcBorders>
          </w:tcPr>
          <w:p w14:paraId="6B2CBBF3" w14:textId="77777777" w:rsidR="00CF79D6" w:rsidRPr="00F55C1D" w:rsidRDefault="00CF79D6" w:rsidP="00A54905">
            <w:pPr>
              <w:contextualSpacing/>
            </w:pPr>
            <w:r w:rsidRPr="00F55C1D">
              <w:t>8.0</w:t>
            </w:r>
          </w:p>
        </w:tc>
        <w:tc>
          <w:tcPr>
            <w:tcW w:w="1137" w:type="dxa"/>
            <w:tcBorders>
              <w:top w:val="single" w:sz="4" w:space="0" w:color="auto"/>
              <w:left w:val="single" w:sz="4" w:space="0" w:color="auto"/>
              <w:bottom w:val="single" w:sz="4" w:space="0" w:color="auto"/>
              <w:right w:val="single" w:sz="4" w:space="0" w:color="auto"/>
            </w:tcBorders>
            <w:noWrap/>
          </w:tcPr>
          <w:p w14:paraId="2E334F97" w14:textId="77777777" w:rsidR="00CF79D6" w:rsidRPr="00F55C1D" w:rsidRDefault="00A54905" w:rsidP="00A54905">
            <w:pPr>
              <w:contextualSpacing/>
            </w:pPr>
            <w:r w:rsidRPr="00F55C1D">
              <w:t>0.004</w:t>
            </w:r>
          </w:p>
        </w:tc>
      </w:tr>
      <w:tr w:rsidR="00CF79D6" w:rsidRPr="00324344" w14:paraId="18D443CF" w14:textId="77777777" w:rsidTr="001E6380">
        <w:trPr>
          <w:trHeight w:val="113"/>
        </w:trPr>
        <w:tc>
          <w:tcPr>
            <w:tcW w:w="1995" w:type="dxa"/>
            <w:gridSpan w:val="2"/>
            <w:tcBorders>
              <w:top w:val="single" w:sz="4" w:space="0" w:color="auto"/>
            </w:tcBorders>
          </w:tcPr>
          <w:p w14:paraId="52AEE3C0" w14:textId="77777777" w:rsidR="00CF79D6" w:rsidRPr="00F55C1D" w:rsidRDefault="00CF79D6" w:rsidP="00A54905">
            <w:pPr>
              <w:ind w:firstLine="709"/>
              <w:contextualSpacing/>
            </w:pPr>
          </w:p>
        </w:tc>
        <w:tc>
          <w:tcPr>
            <w:tcW w:w="1569" w:type="dxa"/>
            <w:gridSpan w:val="2"/>
            <w:tcBorders>
              <w:top w:val="single" w:sz="4" w:space="0" w:color="auto"/>
            </w:tcBorders>
          </w:tcPr>
          <w:p w14:paraId="1A642222" w14:textId="77777777" w:rsidR="00CF79D6" w:rsidRPr="00F55C1D" w:rsidRDefault="00CF79D6" w:rsidP="00A54905">
            <w:pPr>
              <w:ind w:firstLine="709"/>
              <w:contextualSpacing/>
            </w:pPr>
          </w:p>
        </w:tc>
        <w:tc>
          <w:tcPr>
            <w:tcW w:w="6186" w:type="dxa"/>
            <w:gridSpan w:val="6"/>
            <w:tcBorders>
              <w:top w:val="single" w:sz="4" w:space="0" w:color="auto"/>
            </w:tcBorders>
            <w:noWrap/>
          </w:tcPr>
          <w:p w14:paraId="0E7E2814" w14:textId="77777777" w:rsidR="00CF79D6" w:rsidRPr="00A40587" w:rsidRDefault="00CF79D6" w:rsidP="00A54905">
            <w:pPr>
              <w:ind w:firstLine="709"/>
              <w:contextualSpacing/>
              <w:rPr>
                <w:lang w:val="en-US"/>
              </w:rPr>
            </w:pPr>
            <w:r w:rsidRPr="00A40587">
              <w:rPr>
                <w:lang w:val="en-US"/>
              </w:rPr>
              <w:t>Note: U-Mann-Whitney test for k-independent groups)</w:t>
            </w:r>
          </w:p>
        </w:tc>
      </w:tr>
    </w:tbl>
    <w:p w14:paraId="01E2B9DA" w14:textId="2CCEC2AF" w:rsidR="004D122C" w:rsidRDefault="001E6380" w:rsidP="001E6380">
      <w:pPr>
        <w:ind w:firstLine="709"/>
        <w:rPr>
          <w:sz w:val="28"/>
          <w:szCs w:val="28"/>
          <w:lang w:val="ru-KZ"/>
        </w:rPr>
      </w:pPr>
      <w:r w:rsidRPr="001E6380">
        <w:rPr>
          <w:sz w:val="28"/>
          <w:szCs w:val="28"/>
          <w:lang w:val="ru-KZ"/>
        </w:rPr>
        <w:t xml:space="preserve">Thus, Table 1 demonstrates that PerOssal® provides higher concentrations of gentamicin in blood plasma at early time points after implantation, whereas the bone allograft impregnated with an antibiotic is characterized by a more prolonged drug </w:t>
      </w:r>
      <w:r w:rsidRPr="001E6380">
        <w:rPr>
          <w:sz w:val="28"/>
          <w:szCs w:val="28"/>
          <w:lang w:val="ru-KZ"/>
        </w:rPr>
        <w:lastRenderedPageBreak/>
        <w:t>release, as evidenced by relatively higher plasma concentrations on days 6–7 of observation. These findings suggest differences in the pharmacokinetic profile of gentamicin release depending on the carrier used.</w:t>
      </w:r>
      <w:r w:rsidRPr="001E6380">
        <w:rPr>
          <w:sz w:val="28"/>
          <w:szCs w:val="28"/>
          <w:lang w:val="en-US"/>
        </w:rPr>
        <w:t xml:space="preserve"> </w:t>
      </w:r>
      <w:r w:rsidRPr="001E6380">
        <w:rPr>
          <w:sz w:val="28"/>
          <w:szCs w:val="28"/>
          <w:lang w:val="ru-KZ"/>
        </w:rPr>
        <w:t>The comparison between the groups is presented in Table 2.</w:t>
      </w:r>
    </w:p>
    <w:p w14:paraId="130F761D" w14:textId="77777777" w:rsidR="001E6380" w:rsidRPr="001E6380" w:rsidRDefault="001E6380" w:rsidP="001E6380">
      <w:pPr>
        <w:ind w:firstLine="709"/>
        <w:rPr>
          <w:sz w:val="28"/>
          <w:szCs w:val="28"/>
          <w:lang w:val="ru-KZ"/>
        </w:rPr>
      </w:pPr>
    </w:p>
    <w:p w14:paraId="72008176" w14:textId="77777777" w:rsidR="004D122C" w:rsidRPr="00B90F53" w:rsidRDefault="004D122C" w:rsidP="00A54905">
      <w:pPr>
        <w:ind w:firstLine="709"/>
        <w:jc w:val="center"/>
        <w:rPr>
          <w:sz w:val="24"/>
          <w:szCs w:val="24"/>
          <w:lang w:val="en-US"/>
        </w:rPr>
      </w:pPr>
      <w:r w:rsidRPr="00B90F53">
        <w:rPr>
          <w:sz w:val="24"/>
          <w:szCs w:val="24"/>
          <w:lang w:val="en-US"/>
        </w:rPr>
        <w:t>Table 2 Results of the study of median concentrations of gentamicin in soft tissues</w:t>
      </w:r>
    </w:p>
    <w:p w14:paraId="18737E96" w14:textId="77777777" w:rsidR="004D122C" w:rsidRPr="00B90F53" w:rsidRDefault="004D122C" w:rsidP="00A54905">
      <w:pPr>
        <w:ind w:firstLine="709"/>
        <w:jc w:val="both"/>
        <w:rPr>
          <w:sz w:val="24"/>
          <w:szCs w:val="24"/>
          <w:lang w:val="en-US"/>
        </w:rPr>
      </w:pPr>
    </w:p>
    <w:tbl>
      <w:tblPr>
        <w:tblStyle w:val="aa"/>
        <w:tblW w:w="4945" w:type="pct"/>
        <w:tblInd w:w="108" w:type="dxa"/>
        <w:tblLayout w:type="fixed"/>
        <w:tblLook w:val="04A0" w:firstRow="1" w:lastRow="0" w:firstColumn="1" w:lastColumn="0" w:noHBand="0" w:noVBand="1"/>
      </w:tblPr>
      <w:tblGrid>
        <w:gridCol w:w="1055"/>
        <w:gridCol w:w="636"/>
        <w:gridCol w:w="844"/>
        <w:gridCol w:w="625"/>
        <w:gridCol w:w="21"/>
        <w:gridCol w:w="1145"/>
        <w:gridCol w:w="21"/>
        <w:gridCol w:w="1195"/>
        <w:gridCol w:w="53"/>
        <w:gridCol w:w="1400"/>
        <w:gridCol w:w="21"/>
        <w:gridCol w:w="1437"/>
        <w:gridCol w:w="23"/>
        <w:gridCol w:w="1050"/>
      </w:tblGrid>
      <w:tr w:rsidR="004D122C" w:rsidRPr="00151A54" w14:paraId="0FA1D788" w14:textId="77777777" w:rsidTr="00151A54">
        <w:trPr>
          <w:trHeight w:val="20"/>
        </w:trPr>
        <w:tc>
          <w:tcPr>
            <w:tcW w:w="888" w:type="pct"/>
            <w:gridSpan w:val="2"/>
            <w:vMerge w:val="restart"/>
            <w:noWrap/>
            <w:hideMark/>
          </w:tcPr>
          <w:p w14:paraId="21CC0E7F" w14:textId="77777777" w:rsidR="004D122C" w:rsidRPr="00151A54" w:rsidRDefault="004D122C" w:rsidP="00151A54">
            <w:pPr>
              <w:ind w:firstLine="709"/>
              <w:rPr>
                <w:sz w:val="24"/>
                <w:szCs w:val="24"/>
                <w:lang w:val="en-US"/>
              </w:rPr>
            </w:pPr>
            <w:proofErr w:type="spellStart"/>
            <w:r w:rsidRPr="00151A54">
              <w:rPr>
                <w:sz w:val="24"/>
                <w:szCs w:val="24"/>
              </w:rPr>
              <w:t>Follow-up</w:t>
            </w:r>
            <w:proofErr w:type="spellEnd"/>
            <w:r w:rsidRPr="00151A54">
              <w:rPr>
                <w:sz w:val="24"/>
                <w:szCs w:val="24"/>
              </w:rPr>
              <w:t xml:space="preserve"> </w:t>
            </w:r>
            <w:proofErr w:type="spellStart"/>
            <w:r w:rsidRPr="00151A54">
              <w:rPr>
                <w:sz w:val="24"/>
                <w:szCs w:val="24"/>
              </w:rPr>
              <w:t>period</w:t>
            </w:r>
            <w:proofErr w:type="spellEnd"/>
          </w:p>
        </w:tc>
        <w:tc>
          <w:tcPr>
            <w:tcW w:w="771" w:type="pct"/>
            <w:gridSpan w:val="2"/>
            <w:noWrap/>
          </w:tcPr>
          <w:p w14:paraId="2C54D4FC" w14:textId="77777777" w:rsidR="004D122C" w:rsidRPr="00151A54" w:rsidRDefault="004D122C" w:rsidP="00151A54">
            <w:pPr>
              <w:rPr>
                <w:sz w:val="24"/>
                <w:szCs w:val="24"/>
              </w:rPr>
            </w:pPr>
            <w:proofErr w:type="spellStart"/>
            <w:r w:rsidRPr="00151A54">
              <w:rPr>
                <w:sz w:val="24"/>
                <w:szCs w:val="24"/>
              </w:rPr>
              <w:t>Iu</w:t>
            </w:r>
            <w:proofErr w:type="spellEnd"/>
          </w:p>
        </w:tc>
        <w:tc>
          <w:tcPr>
            <w:tcW w:w="612" w:type="pct"/>
            <w:gridSpan w:val="2"/>
          </w:tcPr>
          <w:p w14:paraId="4D7B9FE3" w14:textId="77777777" w:rsidR="004D122C" w:rsidRPr="00151A54" w:rsidRDefault="004D122C" w:rsidP="00151A54">
            <w:pPr>
              <w:rPr>
                <w:sz w:val="24"/>
                <w:szCs w:val="24"/>
              </w:rPr>
            </w:pPr>
            <w:r w:rsidRPr="00151A54">
              <w:rPr>
                <w:bCs/>
                <w:color w:val="000000"/>
                <w:sz w:val="24"/>
                <w:szCs w:val="24"/>
                <w:lang w:val="en-US"/>
              </w:rPr>
              <w:t>IQR</w:t>
            </w:r>
          </w:p>
        </w:tc>
        <w:tc>
          <w:tcPr>
            <w:tcW w:w="666" w:type="pct"/>
            <w:gridSpan w:val="3"/>
          </w:tcPr>
          <w:p w14:paraId="1AB1A73A" w14:textId="77777777" w:rsidR="004D122C" w:rsidRPr="00151A54" w:rsidRDefault="004D122C" w:rsidP="00151A54">
            <w:pPr>
              <w:rPr>
                <w:sz w:val="24"/>
                <w:szCs w:val="24"/>
              </w:rPr>
            </w:pPr>
            <w:proofErr w:type="spellStart"/>
            <w:r w:rsidRPr="00151A54">
              <w:rPr>
                <w:sz w:val="24"/>
                <w:szCs w:val="24"/>
              </w:rPr>
              <w:t>Iu</w:t>
            </w:r>
            <w:proofErr w:type="spellEnd"/>
          </w:p>
        </w:tc>
        <w:tc>
          <w:tcPr>
            <w:tcW w:w="746" w:type="pct"/>
            <w:gridSpan w:val="2"/>
          </w:tcPr>
          <w:p w14:paraId="2C6914CB" w14:textId="77777777" w:rsidR="004D122C" w:rsidRPr="00151A54" w:rsidRDefault="004D122C" w:rsidP="00151A54">
            <w:pPr>
              <w:ind w:firstLine="709"/>
              <w:rPr>
                <w:sz w:val="24"/>
                <w:szCs w:val="24"/>
              </w:rPr>
            </w:pPr>
            <w:r w:rsidRPr="00151A54">
              <w:rPr>
                <w:bCs/>
                <w:color w:val="000000"/>
                <w:sz w:val="24"/>
                <w:szCs w:val="24"/>
                <w:lang w:val="en-US"/>
              </w:rPr>
              <w:t>QR</w:t>
            </w:r>
          </w:p>
        </w:tc>
        <w:tc>
          <w:tcPr>
            <w:tcW w:w="754" w:type="pct"/>
          </w:tcPr>
          <w:p w14:paraId="564F767A" w14:textId="77777777" w:rsidR="004D122C" w:rsidRPr="00151A54" w:rsidRDefault="004D122C" w:rsidP="00151A54">
            <w:pPr>
              <w:ind w:firstLine="709"/>
              <w:rPr>
                <w:sz w:val="24"/>
                <w:szCs w:val="24"/>
              </w:rPr>
            </w:pPr>
          </w:p>
        </w:tc>
        <w:tc>
          <w:tcPr>
            <w:tcW w:w="565" w:type="pct"/>
            <w:gridSpan w:val="2"/>
          </w:tcPr>
          <w:p w14:paraId="41811224" w14:textId="77777777" w:rsidR="004D122C" w:rsidRPr="00151A54" w:rsidRDefault="004D122C" w:rsidP="00151A54">
            <w:pPr>
              <w:ind w:firstLine="709"/>
              <w:rPr>
                <w:sz w:val="24"/>
                <w:szCs w:val="24"/>
              </w:rPr>
            </w:pPr>
          </w:p>
        </w:tc>
      </w:tr>
      <w:tr w:rsidR="004D122C" w:rsidRPr="00151A54" w14:paraId="0CC3F551" w14:textId="77777777" w:rsidTr="00151A54">
        <w:trPr>
          <w:trHeight w:val="20"/>
        </w:trPr>
        <w:tc>
          <w:tcPr>
            <w:tcW w:w="888" w:type="pct"/>
            <w:gridSpan w:val="2"/>
            <w:vMerge/>
            <w:noWrap/>
          </w:tcPr>
          <w:p w14:paraId="4ED637D3" w14:textId="77777777" w:rsidR="004D122C" w:rsidRPr="00151A54" w:rsidRDefault="004D122C" w:rsidP="00151A54">
            <w:pPr>
              <w:ind w:firstLine="709"/>
              <w:rPr>
                <w:sz w:val="24"/>
                <w:szCs w:val="24"/>
              </w:rPr>
            </w:pPr>
          </w:p>
        </w:tc>
        <w:tc>
          <w:tcPr>
            <w:tcW w:w="1393" w:type="pct"/>
            <w:gridSpan w:val="5"/>
            <w:noWrap/>
          </w:tcPr>
          <w:p w14:paraId="0B287512" w14:textId="77777777" w:rsidR="004D122C" w:rsidRPr="00151A54" w:rsidRDefault="004D122C" w:rsidP="00151A54">
            <w:pPr>
              <w:rPr>
                <w:bCs/>
                <w:color w:val="000000"/>
                <w:sz w:val="24"/>
                <w:szCs w:val="24"/>
              </w:rPr>
            </w:pPr>
            <w:proofErr w:type="spellStart"/>
            <w:r w:rsidRPr="00151A54">
              <w:rPr>
                <w:sz w:val="24"/>
                <w:szCs w:val="24"/>
              </w:rPr>
              <w:t>Perossal</w:t>
            </w:r>
            <w:proofErr w:type="spellEnd"/>
            <w:r w:rsidRPr="00151A54">
              <w:rPr>
                <w:bCs/>
                <w:sz w:val="24"/>
                <w:szCs w:val="24"/>
              </w:rPr>
              <w:t xml:space="preserve">® </w:t>
            </w:r>
            <w:proofErr w:type="spellStart"/>
            <w:r w:rsidRPr="00151A54">
              <w:rPr>
                <w:bCs/>
                <w:sz w:val="24"/>
                <w:szCs w:val="24"/>
              </w:rPr>
              <w:t>ng</w:t>
            </w:r>
            <w:proofErr w:type="spellEnd"/>
            <w:r w:rsidRPr="00151A54">
              <w:rPr>
                <w:bCs/>
                <w:sz w:val="24"/>
                <w:szCs w:val="24"/>
              </w:rPr>
              <w:t xml:space="preserve">/ </w:t>
            </w:r>
            <w:proofErr w:type="spellStart"/>
            <w:r w:rsidRPr="00151A54">
              <w:rPr>
                <w:bCs/>
                <w:sz w:val="24"/>
                <w:szCs w:val="24"/>
              </w:rPr>
              <w:t>mg</w:t>
            </w:r>
            <w:proofErr w:type="spellEnd"/>
          </w:p>
        </w:tc>
        <w:tc>
          <w:tcPr>
            <w:tcW w:w="1390" w:type="pct"/>
            <w:gridSpan w:val="3"/>
          </w:tcPr>
          <w:p w14:paraId="2A1FD7BB" w14:textId="41C759DC" w:rsidR="004D122C" w:rsidRPr="00151A54" w:rsidRDefault="004D122C" w:rsidP="00151A54">
            <w:pPr>
              <w:rPr>
                <w:bCs/>
                <w:color w:val="000000"/>
                <w:sz w:val="24"/>
                <w:szCs w:val="24"/>
                <w:lang w:val="en-US"/>
              </w:rPr>
            </w:pPr>
            <w:proofErr w:type="spellStart"/>
            <w:r w:rsidRPr="00151A54">
              <w:rPr>
                <w:bCs/>
                <w:color w:val="000000"/>
                <w:sz w:val="24"/>
                <w:szCs w:val="24"/>
              </w:rPr>
              <w:t>Bone</w:t>
            </w:r>
            <w:proofErr w:type="spellEnd"/>
            <w:r w:rsidRPr="00151A54">
              <w:rPr>
                <w:bCs/>
                <w:color w:val="000000"/>
                <w:sz w:val="24"/>
                <w:szCs w:val="24"/>
              </w:rPr>
              <w:t xml:space="preserve"> </w:t>
            </w:r>
            <w:proofErr w:type="spellStart"/>
            <w:r w:rsidRPr="00151A54">
              <w:rPr>
                <w:bCs/>
                <w:color w:val="000000"/>
                <w:sz w:val="24"/>
                <w:szCs w:val="24"/>
              </w:rPr>
              <w:t>allograft</w:t>
            </w:r>
            <w:proofErr w:type="spellEnd"/>
            <w:r w:rsidR="00324344" w:rsidRPr="00151A54">
              <w:rPr>
                <w:bCs/>
                <w:sz w:val="24"/>
                <w:szCs w:val="24"/>
              </w:rPr>
              <w:t xml:space="preserve"> </w:t>
            </w:r>
            <w:proofErr w:type="spellStart"/>
            <w:r w:rsidR="00324344" w:rsidRPr="00151A54">
              <w:rPr>
                <w:bCs/>
                <w:sz w:val="24"/>
                <w:szCs w:val="24"/>
              </w:rPr>
              <w:t>ng</w:t>
            </w:r>
            <w:proofErr w:type="spellEnd"/>
            <w:r w:rsidR="00324344" w:rsidRPr="00151A54">
              <w:rPr>
                <w:bCs/>
                <w:sz w:val="24"/>
                <w:szCs w:val="24"/>
              </w:rPr>
              <w:t xml:space="preserve">/ </w:t>
            </w:r>
            <w:proofErr w:type="spellStart"/>
            <w:r w:rsidR="00324344" w:rsidRPr="00151A54">
              <w:rPr>
                <w:bCs/>
                <w:sz w:val="24"/>
                <w:szCs w:val="24"/>
              </w:rPr>
              <w:t>mg</w:t>
            </w:r>
            <w:proofErr w:type="spellEnd"/>
          </w:p>
        </w:tc>
        <w:tc>
          <w:tcPr>
            <w:tcW w:w="777" w:type="pct"/>
            <w:gridSpan w:val="3"/>
          </w:tcPr>
          <w:p w14:paraId="22A3F082" w14:textId="77777777" w:rsidR="004D122C" w:rsidRPr="00151A54" w:rsidRDefault="004D122C" w:rsidP="00151A54">
            <w:pPr>
              <w:rPr>
                <w:bCs/>
                <w:color w:val="000000"/>
                <w:sz w:val="24"/>
                <w:szCs w:val="24"/>
              </w:rPr>
            </w:pPr>
            <w:r w:rsidRPr="00151A54">
              <w:rPr>
                <w:bCs/>
                <w:color w:val="000000"/>
                <w:sz w:val="24"/>
                <w:szCs w:val="24"/>
                <w:lang w:val="en-US"/>
              </w:rPr>
              <w:t>U-</w:t>
            </w:r>
            <w:proofErr w:type="spellStart"/>
            <w:r w:rsidRPr="00151A54">
              <w:rPr>
                <w:bCs/>
                <w:color w:val="000000"/>
                <w:sz w:val="24"/>
                <w:szCs w:val="24"/>
              </w:rPr>
              <w:t>value</w:t>
            </w:r>
            <w:proofErr w:type="spellEnd"/>
            <w:r w:rsidRPr="00151A54">
              <w:rPr>
                <w:bCs/>
                <w:color w:val="000000"/>
                <w:sz w:val="24"/>
                <w:szCs w:val="24"/>
              </w:rPr>
              <w:t>.</w:t>
            </w:r>
          </w:p>
        </w:tc>
        <w:tc>
          <w:tcPr>
            <w:tcW w:w="552" w:type="pct"/>
            <w:noWrap/>
          </w:tcPr>
          <w:p w14:paraId="064E8153" w14:textId="77777777" w:rsidR="004D122C" w:rsidRPr="00151A54" w:rsidRDefault="004D122C" w:rsidP="00151A54">
            <w:pPr>
              <w:rPr>
                <w:bCs/>
                <w:color w:val="000000"/>
                <w:sz w:val="24"/>
                <w:szCs w:val="24"/>
              </w:rPr>
            </w:pPr>
            <w:r w:rsidRPr="00151A54">
              <w:rPr>
                <w:bCs/>
                <w:color w:val="000000"/>
                <w:sz w:val="24"/>
                <w:szCs w:val="24"/>
                <w:lang w:val="en-US"/>
              </w:rPr>
              <w:t>p criteria</w:t>
            </w:r>
          </w:p>
        </w:tc>
      </w:tr>
      <w:tr w:rsidR="004D122C" w:rsidRPr="00151A54" w14:paraId="1C4AE019" w14:textId="77777777" w:rsidTr="00151A54">
        <w:trPr>
          <w:trHeight w:val="20"/>
        </w:trPr>
        <w:tc>
          <w:tcPr>
            <w:tcW w:w="888" w:type="pct"/>
            <w:gridSpan w:val="2"/>
            <w:noWrap/>
            <w:hideMark/>
          </w:tcPr>
          <w:p w14:paraId="54A6E5B0" w14:textId="77777777" w:rsidR="004D122C" w:rsidRPr="00151A54" w:rsidRDefault="004D122C" w:rsidP="00151A54">
            <w:pPr>
              <w:ind w:firstLine="709"/>
              <w:rPr>
                <w:b/>
                <w:bCs/>
                <w:sz w:val="24"/>
                <w:szCs w:val="24"/>
                <w:lang w:val="en-US"/>
              </w:rPr>
            </w:pPr>
            <w:r w:rsidRPr="00151A54">
              <w:rPr>
                <w:bCs/>
                <w:color w:val="000000"/>
                <w:sz w:val="24"/>
                <w:szCs w:val="24"/>
              </w:rPr>
              <w:t>1h</w:t>
            </w:r>
          </w:p>
        </w:tc>
        <w:tc>
          <w:tcPr>
            <w:tcW w:w="782" w:type="pct"/>
            <w:gridSpan w:val="3"/>
            <w:noWrap/>
            <w:hideMark/>
          </w:tcPr>
          <w:p w14:paraId="21C672CC" w14:textId="77777777" w:rsidR="004D122C" w:rsidRPr="00151A54" w:rsidRDefault="004D122C" w:rsidP="00151A54">
            <w:pPr>
              <w:rPr>
                <w:color w:val="000000"/>
                <w:sz w:val="24"/>
                <w:szCs w:val="24"/>
              </w:rPr>
            </w:pPr>
            <w:r w:rsidRPr="00151A54">
              <w:rPr>
                <w:bCs/>
                <w:color w:val="000000"/>
                <w:sz w:val="24"/>
                <w:szCs w:val="24"/>
              </w:rPr>
              <w:t>2.49</w:t>
            </w:r>
          </w:p>
        </w:tc>
        <w:tc>
          <w:tcPr>
            <w:tcW w:w="612" w:type="pct"/>
            <w:gridSpan w:val="2"/>
          </w:tcPr>
          <w:p w14:paraId="552EB820" w14:textId="77777777" w:rsidR="004D122C" w:rsidRPr="00151A54" w:rsidRDefault="004D122C" w:rsidP="00151A54">
            <w:pPr>
              <w:rPr>
                <w:color w:val="000000"/>
                <w:sz w:val="24"/>
                <w:szCs w:val="24"/>
                <w:lang w:val="en-US"/>
              </w:rPr>
            </w:pPr>
            <w:r w:rsidRPr="00151A54">
              <w:rPr>
                <w:color w:val="000000"/>
                <w:sz w:val="24"/>
                <w:szCs w:val="24"/>
                <w:lang w:val="en-US"/>
              </w:rPr>
              <w:t>2.64</w:t>
            </w:r>
          </w:p>
        </w:tc>
        <w:tc>
          <w:tcPr>
            <w:tcW w:w="627" w:type="pct"/>
          </w:tcPr>
          <w:p w14:paraId="7C5A906B" w14:textId="77777777" w:rsidR="004D122C" w:rsidRPr="00151A54" w:rsidRDefault="004D122C" w:rsidP="00151A54">
            <w:pPr>
              <w:rPr>
                <w:color w:val="000000"/>
                <w:sz w:val="24"/>
                <w:szCs w:val="24"/>
              </w:rPr>
            </w:pPr>
            <w:r w:rsidRPr="00151A54">
              <w:rPr>
                <w:bCs/>
                <w:color w:val="000000"/>
                <w:sz w:val="24"/>
                <w:szCs w:val="24"/>
              </w:rPr>
              <w:t>5.8</w:t>
            </w:r>
          </w:p>
        </w:tc>
        <w:tc>
          <w:tcPr>
            <w:tcW w:w="763" w:type="pct"/>
            <w:gridSpan w:val="2"/>
            <w:vAlign w:val="center"/>
          </w:tcPr>
          <w:p w14:paraId="39634F2F" w14:textId="77777777" w:rsidR="004D122C" w:rsidRPr="00151A54" w:rsidRDefault="004D122C" w:rsidP="00151A54">
            <w:pPr>
              <w:rPr>
                <w:sz w:val="24"/>
                <w:szCs w:val="24"/>
              </w:rPr>
            </w:pPr>
            <w:r w:rsidRPr="00151A54">
              <w:rPr>
                <w:sz w:val="24"/>
                <w:szCs w:val="24"/>
              </w:rPr>
              <w:t>4.4</w:t>
            </w:r>
          </w:p>
        </w:tc>
        <w:tc>
          <w:tcPr>
            <w:tcW w:w="777" w:type="pct"/>
            <w:gridSpan w:val="3"/>
          </w:tcPr>
          <w:p w14:paraId="31E190B9" w14:textId="77777777" w:rsidR="004D122C" w:rsidRPr="00151A54" w:rsidRDefault="004D122C" w:rsidP="00151A54">
            <w:pPr>
              <w:rPr>
                <w:sz w:val="24"/>
                <w:szCs w:val="24"/>
              </w:rPr>
            </w:pPr>
            <w:r w:rsidRPr="00151A54">
              <w:rPr>
                <w:sz w:val="24"/>
                <w:szCs w:val="24"/>
              </w:rPr>
              <w:t>8.0</w:t>
            </w:r>
          </w:p>
        </w:tc>
        <w:tc>
          <w:tcPr>
            <w:tcW w:w="552" w:type="pct"/>
            <w:noWrap/>
            <w:hideMark/>
          </w:tcPr>
          <w:p w14:paraId="3579CA19" w14:textId="77777777" w:rsidR="009E2FC6" w:rsidRPr="00151A54" w:rsidRDefault="004D122C" w:rsidP="00151A54">
            <w:pPr>
              <w:rPr>
                <w:bCs/>
                <w:sz w:val="24"/>
                <w:szCs w:val="24"/>
              </w:rPr>
            </w:pPr>
            <w:r w:rsidRPr="00151A54">
              <w:rPr>
                <w:bCs/>
                <w:sz w:val="24"/>
                <w:szCs w:val="24"/>
                <w:lang w:val="en-US"/>
              </w:rPr>
              <w:t>0.001</w:t>
            </w:r>
          </w:p>
        </w:tc>
      </w:tr>
      <w:tr w:rsidR="004D122C" w:rsidRPr="00151A54" w14:paraId="03729A22" w14:textId="77777777" w:rsidTr="00151A54">
        <w:trPr>
          <w:trHeight w:val="20"/>
        </w:trPr>
        <w:tc>
          <w:tcPr>
            <w:tcW w:w="888" w:type="pct"/>
            <w:gridSpan w:val="2"/>
            <w:noWrap/>
          </w:tcPr>
          <w:p w14:paraId="7F83EFB4" w14:textId="77777777" w:rsidR="004D122C" w:rsidRPr="00151A54" w:rsidRDefault="004D122C" w:rsidP="00151A54">
            <w:pPr>
              <w:ind w:firstLine="709"/>
              <w:rPr>
                <w:bCs/>
                <w:color w:val="000000"/>
                <w:sz w:val="24"/>
                <w:szCs w:val="24"/>
              </w:rPr>
            </w:pPr>
            <w:r w:rsidRPr="00151A54">
              <w:rPr>
                <w:bCs/>
                <w:color w:val="000000"/>
                <w:sz w:val="24"/>
                <w:szCs w:val="24"/>
              </w:rPr>
              <w:t>3h</w:t>
            </w:r>
          </w:p>
        </w:tc>
        <w:tc>
          <w:tcPr>
            <w:tcW w:w="782" w:type="pct"/>
            <w:gridSpan w:val="3"/>
            <w:noWrap/>
          </w:tcPr>
          <w:p w14:paraId="038FB751" w14:textId="77777777" w:rsidR="004D122C" w:rsidRPr="00151A54" w:rsidRDefault="004D122C" w:rsidP="00151A54">
            <w:pPr>
              <w:rPr>
                <w:color w:val="000000"/>
                <w:sz w:val="24"/>
                <w:szCs w:val="24"/>
              </w:rPr>
            </w:pPr>
            <w:r w:rsidRPr="00151A54">
              <w:rPr>
                <w:bCs/>
                <w:color w:val="000000"/>
                <w:sz w:val="24"/>
                <w:szCs w:val="24"/>
              </w:rPr>
              <w:t>2.65</w:t>
            </w:r>
          </w:p>
        </w:tc>
        <w:tc>
          <w:tcPr>
            <w:tcW w:w="612" w:type="pct"/>
            <w:gridSpan w:val="2"/>
          </w:tcPr>
          <w:p w14:paraId="3B7859B2" w14:textId="77777777" w:rsidR="004D122C" w:rsidRPr="00151A54" w:rsidRDefault="004D122C" w:rsidP="00151A54">
            <w:pPr>
              <w:rPr>
                <w:color w:val="000000"/>
                <w:sz w:val="24"/>
                <w:szCs w:val="24"/>
                <w:lang w:val="en-US"/>
              </w:rPr>
            </w:pPr>
            <w:r w:rsidRPr="00151A54">
              <w:rPr>
                <w:color w:val="000000"/>
                <w:sz w:val="24"/>
                <w:szCs w:val="24"/>
                <w:lang w:val="en-US"/>
              </w:rPr>
              <w:t>0.14</w:t>
            </w:r>
          </w:p>
        </w:tc>
        <w:tc>
          <w:tcPr>
            <w:tcW w:w="627" w:type="pct"/>
          </w:tcPr>
          <w:p w14:paraId="1315CF25" w14:textId="77777777" w:rsidR="004D122C" w:rsidRPr="00151A54" w:rsidRDefault="004D122C" w:rsidP="00151A54">
            <w:pPr>
              <w:rPr>
                <w:color w:val="000000"/>
                <w:sz w:val="24"/>
                <w:szCs w:val="24"/>
              </w:rPr>
            </w:pPr>
            <w:r w:rsidRPr="00151A54">
              <w:rPr>
                <w:bCs/>
                <w:color w:val="000000"/>
                <w:sz w:val="24"/>
                <w:szCs w:val="24"/>
              </w:rPr>
              <w:t>2.69</w:t>
            </w:r>
          </w:p>
        </w:tc>
        <w:tc>
          <w:tcPr>
            <w:tcW w:w="763" w:type="pct"/>
            <w:gridSpan w:val="2"/>
            <w:vAlign w:val="center"/>
          </w:tcPr>
          <w:p w14:paraId="46B86AE0" w14:textId="77777777" w:rsidR="004D122C" w:rsidRPr="00151A54" w:rsidRDefault="004D122C" w:rsidP="00151A54">
            <w:pPr>
              <w:rPr>
                <w:color w:val="000000"/>
                <w:sz w:val="24"/>
                <w:szCs w:val="24"/>
              </w:rPr>
            </w:pPr>
            <w:r w:rsidRPr="00151A54">
              <w:rPr>
                <w:sz w:val="24"/>
                <w:szCs w:val="24"/>
              </w:rPr>
              <w:t>0.23</w:t>
            </w:r>
          </w:p>
        </w:tc>
        <w:tc>
          <w:tcPr>
            <w:tcW w:w="777" w:type="pct"/>
            <w:gridSpan w:val="3"/>
          </w:tcPr>
          <w:p w14:paraId="2BE8E233" w14:textId="77777777" w:rsidR="004D122C" w:rsidRPr="00151A54" w:rsidRDefault="004D122C" w:rsidP="00151A54">
            <w:pPr>
              <w:rPr>
                <w:color w:val="000000"/>
                <w:sz w:val="24"/>
                <w:szCs w:val="24"/>
              </w:rPr>
            </w:pPr>
            <w:r w:rsidRPr="00151A54">
              <w:rPr>
                <w:color w:val="000000"/>
                <w:sz w:val="24"/>
                <w:szCs w:val="24"/>
              </w:rPr>
              <w:t>26.0</w:t>
            </w:r>
          </w:p>
        </w:tc>
        <w:tc>
          <w:tcPr>
            <w:tcW w:w="552" w:type="pct"/>
            <w:noWrap/>
          </w:tcPr>
          <w:p w14:paraId="203A9BAA" w14:textId="77777777" w:rsidR="004D122C" w:rsidRPr="00151A54" w:rsidRDefault="00151A54" w:rsidP="00151A54">
            <w:pPr>
              <w:rPr>
                <w:bCs/>
                <w:sz w:val="24"/>
                <w:szCs w:val="24"/>
              </w:rPr>
            </w:pPr>
            <w:r w:rsidRPr="00151A54">
              <w:rPr>
                <w:bCs/>
                <w:sz w:val="24"/>
                <w:szCs w:val="24"/>
                <w:lang w:val="en-US"/>
              </w:rPr>
              <w:t>0.008</w:t>
            </w:r>
          </w:p>
        </w:tc>
      </w:tr>
      <w:tr w:rsidR="004D122C" w:rsidRPr="00151A54" w14:paraId="1F83AF7F" w14:textId="77777777" w:rsidTr="00151A54">
        <w:trPr>
          <w:trHeight w:val="20"/>
        </w:trPr>
        <w:tc>
          <w:tcPr>
            <w:tcW w:w="888" w:type="pct"/>
            <w:gridSpan w:val="2"/>
            <w:noWrap/>
            <w:hideMark/>
          </w:tcPr>
          <w:p w14:paraId="5E8FC7DE" w14:textId="77777777" w:rsidR="004D122C" w:rsidRPr="00151A54" w:rsidRDefault="004D122C" w:rsidP="00151A54">
            <w:pPr>
              <w:ind w:firstLine="709"/>
              <w:rPr>
                <w:b/>
                <w:bCs/>
                <w:sz w:val="24"/>
                <w:szCs w:val="24"/>
              </w:rPr>
            </w:pPr>
            <w:r w:rsidRPr="00151A54">
              <w:rPr>
                <w:bCs/>
                <w:color w:val="000000"/>
                <w:sz w:val="24"/>
                <w:szCs w:val="24"/>
              </w:rPr>
              <w:t xml:space="preserve">5h </w:t>
            </w:r>
          </w:p>
        </w:tc>
        <w:tc>
          <w:tcPr>
            <w:tcW w:w="782" w:type="pct"/>
            <w:gridSpan w:val="3"/>
            <w:noWrap/>
            <w:hideMark/>
          </w:tcPr>
          <w:p w14:paraId="4CF36E5B" w14:textId="77777777" w:rsidR="004D122C" w:rsidRPr="00151A54" w:rsidRDefault="004D122C" w:rsidP="00151A54">
            <w:pPr>
              <w:rPr>
                <w:color w:val="000000"/>
                <w:sz w:val="24"/>
                <w:szCs w:val="24"/>
              </w:rPr>
            </w:pPr>
            <w:r w:rsidRPr="00151A54">
              <w:rPr>
                <w:bCs/>
                <w:color w:val="000000"/>
                <w:sz w:val="24"/>
                <w:szCs w:val="24"/>
              </w:rPr>
              <w:t>1.64</w:t>
            </w:r>
          </w:p>
        </w:tc>
        <w:tc>
          <w:tcPr>
            <w:tcW w:w="612" w:type="pct"/>
            <w:gridSpan w:val="2"/>
          </w:tcPr>
          <w:p w14:paraId="31DD89AD" w14:textId="77777777" w:rsidR="004D122C" w:rsidRPr="00151A54" w:rsidRDefault="004D122C" w:rsidP="00151A54">
            <w:pPr>
              <w:rPr>
                <w:color w:val="000000"/>
                <w:sz w:val="24"/>
                <w:szCs w:val="24"/>
                <w:lang w:val="en-US"/>
              </w:rPr>
            </w:pPr>
            <w:r w:rsidRPr="00151A54">
              <w:rPr>
                <w:color w:val="000000"/>
                <w:sz w:val="24"/>
                <w:szCs w:val="24"/>
                <w:lang w:val="en-US"/>
              </w:rPr>
              <w:t>0.56</w:t>
            </w:r>
          </w:p>
        </w:tc>
        <w:tc>
          <w:tcPr>
            <w:tcW w:w="627" w:type="pct"/>
          </w:tcPr>
          <w:p w14:paraId="1AF78BEA" w14:textId="77777777" w:rsidR="004D122C" w:rsidRPr="00151A54" w:rsidRDefault="004D122C" w:rsidP="00151A54">
            <w:pPr>
              <w:rPr>
                <w:color w:val="000000"/>
                <w:sz w:val="24"/>
                <w:szCs w:val="24"/>
              </w:rPr>
            </w:pPr>
            <w:r w:rsidRPr="00151A54">
              <w:rPr>
                <w:bCs/>
                <w:color w:val="000000"/>
                <w:sz w:val="24"/>
                <w:szCs w:val="24"/>
              </w:rPr>
              <w:t>1.87</w:t>
            </w:r>
          </w:p>
        </w:tc>
        <w:tc>
          <w:tcPr>
            <w:tcW w:w="763" w:type="pct"/>
            <w:gridSpan w:val="2"/>
            <w:vAlign w:val="center"/>
          </w:tcPr>
          <w:p w14:paraId="25BF5039" w14:textId="77777777" w:rsidR="004D122C" w:rsidRPr="00151A54" w:rsidRDefault="004D122C" w:rsidP="00151A54">
            <w:pPr>
              <w:rPr>
                <w:sz w:val="24"/>
                <w:szCs w:val="24"/>
              </w:rPr>
            </w:pPr>
            <w:r w:rsidRPr="00151A54">
              <w:rPr>
                <w:sz w:val="24"/>
                <w:szCs w:val="24"/>
              </w:rPr>
              <w:t>0.94</w:t>
            </w:r>
          </w:p>
        </w:tc>
        <w:tc>
          <w:tcPr>
            <w:tcW w:w="777" w:type="pct"/>
            <w:gridSpan w:val="3"/>
          </w:tcPr>
          <w:p w14:paraId="377567BC" w14:textId="77777777" w:rsidR="004D122C" w:rsidRPr="00151A54" w:rsidRDefault="004D122C" w:rsidP="00151A54">
            <w:pPr>
              <w:rPr>
                <w:sz w:val="24"/>
                <w:szCs w:val="24"/>
              </w:rPr>
            </w:pPr>
            <w:r w:rsidRPr="00151A54">
              <w:rPr>
                <w:sz w:val="24"/>
                <w:szCs w:val="24"/>
              </w:rPr>
              <w:t>3.0</w:t>
            </w:r>
          </w:p>
        </w:tc>
        <w:tc>
          <w:tcPr>
            <w:tcW w:w="552" w:type="pct"/>
            <w:noWrap/>
            <w:hideMark/>
          </w:tcPr>
          <w:p w14:paraId="2E1966A6" w14:textId="77777777" w:rsidR="004D122C" w:rsidRPr="00151A54" w:rsidRDefault="00151A54" w:rsidP="00151A54">
            <w:pPr>
              <w:rPr>
                <w:bCs/>
                <w:sz w:val="24"/>
                <w:szCs w:val="24"/>
              </w:rPr>
            </w:pPr>
            <w:r w:rsidRPr="00151A54">
              <w:rPr>
                <w:bCs/>
                <w:sz w:val="24"/>
                <w:szCs w:val="24"/>
                <w:lang w:val="en-US"/>
              </w:rPr>
              <w:t>0.003</w:t>
            </w:r>
          </w:p>
        </w:tc>
      </w:tr>
      <w:tr w:rsidR="004D122C" w:rsidRPr="00151A54" w14:paraId="1F8AF21A" w14:textId="77777777" w:rsidTr="00151A54">
        <w:trPr>
          <w:trHeight w:val="20"/>
        </w:trPr>
        <w:tc>
          <w:tcPr>
            <w:tcW w:w="888" w:type="pct"/>
            <w:gridSpan w:val="2"/>
            <w:noWrap/>
            <w:hideMark/>
          </w:tcPr>
          <w:p w14:paraId="19F04FAA" w14:textId="77777777" w:rsidR="004D122C" w:rsidRPr="00151A54" w:rsidRDefault="004D122C" w:rsidP="00151A54">
            <w:pPr>
              <w:ind w:firstLine="709"/>
              <w:rPr>
                <w:b/>
                <w:bCs/>
                <w:sz w:val="24"/>
                <w:szCs w:val="24"/>
              </w:rPr>
            </w:pPr>
            <w:r w:rsidRPr="00151A54">
              <w:rPr>
                <w:bCs/>
                <w:color w:val="000000"/>
                <w:sz w:val="24"/>
                <w:szCs w:val="24"/>
              </w:rPr>
              <w:t xml:space="preserve">1 </w:t>
            </w:r>
            <w:proofErr w:type="spellStart"/>
            <w:r w:rsidRPr="00151A54">
              <w:rPr>
                <w:bCs/>
                <w:color w:val="000000"/>
                <w:sz w:val="24"/>
                <w:szCs w:val="24"/>
              </w:rPr>
              <w:t>day</w:t>
            </w:r>
            <w:proofErr w:type="spellEnd"/>
          </w:p>
        </w:tc>
        <w:tc>
          <w:tcPr>
            <w:tcW w:w="782" w:type="pct"/>
            <w:gridSpan w:val="3"/>
            <w:noWrap/>
            <w:hideMark/>
          </w:tcPr>
          <w:p w14:paraId="332CECE6" w14:textId="77777777" w:rsidR="004D122C" w:rsidRPr="00151A54" w:rsidRDefault="004D122C" w:rsidP="00151A54">
            <w:pPr>
              <w:rPr>
                <w:color w:val="000000"/>
                <w:sz w:val="24"/>
                <w:szCs w:val="24"/>
              </w:rPr>
            </w:pPr>
            <w:r w:rsidRPr="00151A54">
              <w:rPr>
                <w:bCs/>
                <w:color w:val="000000"/>
                <w:sz w:val="24"/>
                <w:szCs w:val="24"/>
              </w:rPr>
              <w:t>0.33</w:t>
            </w:r>
          </w:p>
        </w:tc>
        <w:tc>
          <w:tcPr>
            <w:tcW w:w="612" w:type="pct"/>
            <w:gridSpan w:val="2"/>
          </w:tcPr>
          <w:p w14:paraId="5D88F99C" w14:textId="77777777" w:rsidR="004D122C" w:rsidRPr="00151A54" w:rsidRDefault="004D122C" w:rsidP="00151A54">
            <w:pPr>
              <w:rPr>
                <w:color w:val="000000"/>
                <w:sz w:val="24"/>
                <w:szCs w:val="24"/>
                <w:lang w:val="en-US"/>
              </w:rPr>
            </w:pPr>
            <w:r w:rsidRPr="00151A54">
              <w:rPr>
                <w:color w:val="000000"/>
                <w:sz w:val="24"/>
                <w:szCs w:val="24"/>
                <w:lang w:val="en-US"/>
              </w:rPr>
              <w:t>0.38</w:t>
            </w:r>
          </w:p>
        </w:tc>
        <w:tc>
          <w:tcPr>
            <w:tcW w:w="627" w:type="pct"/>
          </w:tcPr>
          <w:p w14:paraId="6ADCCF81" w14:textId="77777777" w:rsidR="004D122C" w:rsidRPr="00151A54" w:rsidRDefault="004D122C" w:rsidP="00151A54">
            <w:pPr>
              <w:rPr>
                <w:color w:val="000000"/>
                <w:sz w:val="24"/>
                <w:szCs w:val="24"/>
              </w:rPr>
            </w:pPr>
            <w:r w:rsidRPr="00151A54">
              <w:rPr>
                <w:bCs/>
                <w:color w:val="000000"/>
                <w:sz w:val="24"/>
                <w:szCs w:val="24"/>
              </w:rPr>
              <w:t>1.45</w:t>
            </w:r>
          </w:p>
        </w:tc>
        <w:tc>
          <w:tcPr>
            <w:tcW w:w="763" w:type="pct"/>
            <w:gridSpan w:val="2"/>
            <w:vAlign w:val="center"/>
          </w:tcPr>
          <w:p w14:paraId="34116F0A" w14:textId="77777777" w:rsidR="004D122C" w:rsidRPr="00151A54" w:rsidRDefault="004D122C" w:rsidP="00151A54">
            <w:pPr>
              <w:rPr>
                <w:sz w:val="24"/>
                <w:szCs w:val="24"/>
              </w:rPr>
            </w:pPr>
            <w:r w:rsidRPr="00151A54">
              <w:rPr>
                <w:sz w:val="24"/>
                <w:szCs w:val="24"/>
              </w:rPr>
              <w:t>0.63</w:t>
            </w:r>
          </w:p>
        </w:tc>
        <w:tc>
          <w:tcPr>
            <w:tcW w:w="777" w:type="pct"/>
            <w:gridSpan w:val="3"/>
          </w:tcPr>
          <w:p w14:paraId="1BDDB11F" w14:textId="77777777" w:rsidR="004D122C" w:rsidRPr="00151A54" w:rsidRDefault="004D122C" w:rsidP="00151A54">
            <w:pPr>
              <w:rPr>
                <w:sz w:val="24"/>
                <w:szCs w:val="24"/>
              </w:rPr>
            </w:pPr>
            <w:r w:rsidRPr="00151A54">
              <w:rPr>
                <w:sz w:val="24"/>
                <w:szCs w:val="24"/>
              </w:rPr>
              <w:t>7.0</w:t>
            </w:r>
          </w:p>
        </w:tc>
        <w:tc>
          <w:tcPr>
            <w:tcW w:w="552" w:type="pct"/>
            <w:noWrap/>
            <w:hideMark/>
          </w:tcPr>
          <w:p w14:paraId="22E0A79D" w14:textId="77777777" w:rsidR="004D122C" w:rsidRPr="00151A54" w:rsidRDefault="00151A54" w:rsidP="00151A54">
            <w:pPr>
              <w:rPr>
                <w:bCs/>
                <w:sz w:val="24"/>
                <w:szCs w:val="24"/>
              </w:rPr>
            </w:pPr>
            <w:r w:rsidRPr="00151A54">
              <w:rPr>
                <w:bCs/>
                <w:sz w:val="24"/>
                <w:szCs w:val="24"/>
                <w:lang w:val="en-US"/>
              </w:rPr>
              <w:t>0.002</w:t>
            </w:r>
          </w:p>
        </w:tc>
      </w:tr>
      <w:tr w:rsidR="004D122C" w:rsidRPr="00151A54" w14:paraId="1DD9C20D" w14:textId="77777777" w:rsidTr="00151A54">
        <w:trPr>
          <w:trHeight w:val="20"/>
        </w:trPr>
        <w:tc>
          <w:tcPr>
            <w:tcW w:w="888" w:type="pct"/>
            <w:gridSpan w:val="2"/>
            <w:noWrap/>
            <w:hideMark/>
          </w:tcPr>
          <w:p w14:paraId="30768E89" w14:textId="77777777" w:rsidR="004D122C" w:rsidRPr="00151A54" w:rsidRDefault="004D122C" w:rsidP="00151A54">
            <w:pPr>
              <w:ind w:firstLine="709"/>
              <w:rPr>
                <w:b/>
                <w:bCs/>
                <w:sz w:val="24"/>
                <w:szCs w:val="24"/>
              </w:rPr>
            </w:pPr>
            <w:r w:rsidRPr="00151A54">
              <w:rPr>
                <w:bCs/>
                <w:color w:val="000000"/>
                <w:sz w:val="24"/>
                <w:szCs w:val="24"/>
              </w:rPr>
              <w:t xml:space="preserve">2 </w:t>
            </w:r>
            <w:proofErr w:type="spellStart"/>
            <w:r w:rsidRPr="00151A54">
              <w:rPr>
                <w:bCs/>
                <w:color w:val="000000"/>
                <w:sz w:val="24"/>
                <w:szCs w:val="24"/>
              </w:rPr>
              <w:t>day</w:t>
            </w:r>
            <w:proofErr w:type="spellEnd"/>
          </w:p>
        </w:tc>
        <w:tc>
          <w:tcPr>
            <w:tcW w:w="782" w:type="pct"/>
            <w:gridSpan w:val="3"/>
            <w:noWrap/>
            <w:hideMark/>
          </w:tcPr>
          <w:p w14:paraId="4F46F55C" w14:textId="77777777" w:rsidR="004D122C" w:rsidRPr="00151A54" w:rsidRDefault="004D122C" w:rsidP="00151A54">
            <w:pPr>
              <w:rPr>
                <w:bCs/>
                <w:color w:val="000000"/>
                <w:sz w:val="24"/>
                <w:szCs w:val="24"/>
              </w:rPr>
            </w:pPr>
            <w:r w:rsidRPr="00151A54">
              <w:rPr>
                <w:bCs/>
                <w:color w:val="000000"/>
                <w:sz w:val="24"/>
                <w:szCs w:val="24"/>
              </w:rPr>
              <w:t>0.37</w:t>
            </w:r>
          </w:p>
        </w:tc>
        <w:tc>
          <w:tcPr>
            <w:tcW w:w="612" w:type="pct"/>
            <w:gridSpan w:val="2"/>
          </w:tcPr>
          <w:p w14:paraId="703FB139" w14:textId="77777777" w:rsidR="004D122C" w:rsidRPr="00151A54" w:rsidRDefault="004D122C" w:rsidP="00151A54">
            <w:pPr>
              <w:rPr>
                <w:color w:val="000000"/>
                <w:sz w:val="24"/>
                <w:szCs w:val="24"/>
                <w:lang w:val="en-US"/>
              </w:rPr>
            </w:pPr>
            <w:r w:rsidRPr="00151A54">
              <w:rPr>
                <w:color w:val="000000"/>
                <w:sz w:val="24"/>
                <w:szCs w:val="24"/>
                <w:lang w:val="en-US"/>
              </w:rPr>
              <w:t>0.11</w:t>
            </w:r>
          </w:p>
        </w:tc>
        <w:tc>
          <w:tcPr>
            <w:tcW w:w="627" w:type="pct"/>
          </w:tcPr>
          <w:p w14:paraId="567EB9A3" w14:textId="77777777" w:rsidR="004D122C" w:rsidRPr="00151A54" w:rsidRDefault="004D122C" w:rsidP="00151A54">
            <w:pPr>
              <w:rPr>
                <w:color w:val="000000"/>
                <w:sz w:val="24"/>
                <w:szCs w:val="24"/>
              </w:rPr>
            </w:pPr>
            <w:r w:rsidRPr="00151A54">
              <w:rPr>
                <w:bCs/>
                <w:color w:val="000000"/>
                <w:sz w:val="24"/>
                <w:szCs w:val="24"/>
              </w:rPr>
              <w:t>1.37</w:t>
            </w:r>
          </w:p>
        </w:tc>
        <w:tc>
          <w:tcPr>
            <w:tcW w:w="763" w:type="pct"/>
            <w:gridSpan w:val="2"/>
            <w:vAlign w:val="center"/>
          </w:tcPr>
          <w:p w14:paraId="56A48BA3" w14:textId="77777777" w:rsidR="004D122C" w:rsidRPr="00151A54" w:rsidRDefault="004D122C" w:rsidP="00151A54">
            <w:pPr>
              <w:rPr>
                <w:sz w:val="24"/>
                <w:szCs w:val="24"/>
              </w:rPr>
            </w:pPr>
            <w:r w:rsidRPr="00151A54">
              <w:rPr>
                <w:sz w:val="24"/>
                <w:szCs w:val="24"/>
              </w:rPr>
              <w:t>0.18</w:t>
            </w:r>
          </w:p>
        </w:tc>
        <w:tc>
          <w:tcPr>
            <w:tcW w:w="777" w:type="pct"/>
            <w:gridSpan w:val="3"/>
          </w:tcPr>
          <w:p w14:paraId="018DDBDD" w14:textId="77777777" w:rsidR="004D122C" w:rsidRPr="00151A54" w:rsidRDefault="004D122C" w:rsidP="00151A54">
            <w:pPr>
              <w:rPr>
                <w:sz w:val="24"/>
                <w:szCs w:val="24"/>
              </w:rPr>
            </w:pPr>
            <w:r w:rsidRPr="00151A54">
              <w:rPr>
                <w:sz w:val="24"/>
                <w:szCs w:val="24"/>
              </w:rPr>
              <w:t>15.0</w:t>
            </w:r>
          </w:p>
        </w:tc>
        <w:tc>
          <w:tcPr>
            <w:tcW w:w="552" w:type="pct"/>
            <w:noWrap/>
            <w:hideMark/>
          </w:tcPr>
          <w:p w14:paraId="3A385320" w14:textId="77777777" w:rsidR="004D122C" w:rsidRPr="00151A54" w:rsidRDefault="00151A54" w:rsidP="00151A54">
            <w:pPr>
              <w:rPr>
                <w:bCs/>
                <w:sz w:val="24"/>
                <w:szCs w:val="24"/>
              </w:rPr>
            </w:pPr>
            <w:r w:rsidRPr="00151A54">
              <w:rPr>
                <w:bCs/>
                <w:sz w:val="24"/>
                <w:szCs w:val="24"/>
                <w:lang w:val="en-US"/>
              </w:rPr>
              <w:t>0.001</w:t>
            </w:r>
          </w:p>
        </w:tc>
      </w:tr>
      <w:tr w:rsidR="004D122C" w:rsidRPr="00151A54" w14:paraId="18D5569A" w14:textId="77777777" w:rsidTr="00151A54">
        <w:trPr>
          <w:trHeight w:val="20"/>
        </w:trPr>
        <w:tc>
          <w:tcPr>
            <w:tcW w:w="888" w:type="pct"/>
            <w:gridSpan w:val="2"/>
            <w:noWrap/>
          </w:tcPr>
          <w:p w14:paraId="45F64058" w14:textId="77777777" w:rsidR="004D122C" w:rsidRPr="00151A54" w:rsidRDefault="004D122C" w:rsidP="00151A54">
            <w:pPr>
              <w:ind w:firstLine="709"/>
              <w:rPr>
                <w:bCs/>
                <w:color w:val="000000"/>
                <w:sz w:val="24"/>
                <w:szCs w:val="24"/>
              </w:rPr>
            </w:pPr>
            <w:r w:rsidRPr="00151A54">
              <w:rPr>
                <w:bCs/>
                <w:color w:val="000000"/>
                <w:sz w:val="24"/>
                <w:szCs w:val="24"/>
              </w:rPr>
              <w:t xml:space="preserve">3 </w:t>
            </w:r>
            <w:proofErr w:type="spellStart"/>
            <w:r w:rsidRPr="00151A54">
              <w:rPr>
                <w:bCs/>
                <w:color w:val="000000"/>
                <w:sz w:val="24"/>
                <w:szCs w:val="24"/>
              </w:rPr>
              <w:t>day</w:t>
            </w:r>
            <w:proofErr w:type="spellEnd"/>
          </w:p>
        </w:tc>
        <w:tc>
          <w:tcPr>
            <w:tcW w:w="782" w:type="pct"/>
            <w:gridSpan w:val="3"/>
            <w:noWrap/>
          </w:tcPr>
          <w:p w14:paraId="130F3EB9" w14:textId="77777777" w:rsidR="004D122C" w:rsidRPr="00151A54" w:rsidRDefault="004D122C" w:rsidP="00151A54">
            <w:pPr>
              <w:rPr>
                <w:color w:val="000000"/>
                <w:sz w:val="24"/>
                <w:szCs w:val="24"/>
              </w:rPr>
            </w:pPr>
            <w:r w:rsidRPr="00151A54">
              <w:rPr>
                <w:bCs/>
                <w:color w:val="000000"/>
                <w:sz w:val="24"/>
                <w:szCs w:val="24"/>
              </w:rPr>
              <w:t>0.28</w:t>
            </w:r>
          </w:p>
        </w:tc>
        <w:tc>
          <w:tcPr>
            <w:tcW w:w="612" w:type="pct"/>
            <w:gridSpan w:val="2"/>
          </w:tcPr>
          <w:p w14:paraId="4AE5EF03" w14:textId="77777777" w:rsidR="004D122C" w:rsidRPr="00151A54" w:rsidRDefault="004D122C" w:rsidP="00151A54">
            <w:pPr>
              <w:rPr>
                <w:color w:val="000000"/>
                <w:sz w:val="24"/>
                <w:szCs w:val="24"/>
                <w:lang w:val="en-US"/>
              </w:rPr>
            </w:pPr>
            <w:r w:rsidRPr="00151A54">
              <w:rPr>
                <w:color w:val="000000"/>
                <w:sz w:val="24"/>
                <w:szCs w:val="24"/>
                <w:lang w:val="en-US"/>
              </w:rPr>
              <w:t>0.11</w:t>
            </w:r>
          </w:p>
        </w:tc>
        <w:tc>
          <w:tcPr>
            <w:tcW w:w="627" w:type="pct"/>
          </w:tcPr>
          <w:p w14:paraId="720F1B95" w14:textId="77777777" w:rsidR="004D122C" w:rsidRPr="00151A54" w:rsidRDefault="004D122C" w:rsidP="00151A54">
            <w:pPr>
              <w:rPr>
                <w:color w:val="000000"/>
                <w:sz w:val="24"/>
                <w:szCs w:val="24"/>
              </w:rPr>
            </w:pPr>
            <w:r w:rsidRPr="00151A54">
              <w:rPr>
                <w:bCs/>
                <w:color w:val="000000"/>
                <w:sz w:val="24"/>
                <w:szCs w:val="24"/>
              </w:rPr>
              <w:t>1.31</w:t>
            </w:r>
          </w:p>
        </w:tc>
        <w:tc>
          <w:tcPr>
            <w:tcW w:w="763" w:type="pct"/>
            <w:gridSpan w:val="2"/>
            <w:vAlign w:val="center"/>
          </w:tcPr>
          <w:p w14:paraId="48A206A2" w14:textId="77777777" w:rsidR="004D122C" w:rsidRPr="00151A54" w:rsidRDefault="004D122C" w:rsidP="00151A54">
            <w:pPr>
              <w:rPr>
                <w:color w:val="000000"/>
                <w:sz w:val="24"/>
                <w:szCs w:val="24"/>
              </w:rPr>
            </w:pPr>
            <w:r w:rsidRPr="00151A54">
              <w:rPr>
                <w:sz w:val="24"/>
                <w:szCs w:val="24"/>
              </w:rPr>
              <w:t>0.19</w:t>
            </w:r>
          </w:p>
        </w:tc>
        <w:tc>
          <w:tcPr>
            <w:tcW w:w="777" w:type="pct"/>
            <w:gridSpan w:val="3"/>
          </w:tcPr>
          <w:p w14:paraId="0AE55716" w14:textId="77777777" w:rsidR="004D122C" w:rsidRPr="00151A54" w:rsidRDefault="004D122C" w:rsidP="00151A54">
            <w:pPr>
              <w:rPr>
                <w:color w:val="000000"/>
                <w:sz w:val="24"/>
                <w:szCs w:val="24"/>
              </w:rPr>
            </w:pPr>
            <w:r w:rsidRPr="00151A54">
              <w:rPr>
                <w:color w:val="000000"/>
                <w:sz w:val="24"/>
                <w:szCs w:val="24"/>
              </w:rPr>
              <w:t>8.0</w:t>
            </w:r>
          </w:p>
        </w:tc>
        <w:tc>
          <w:tcPr>
            <w:tcW w:w="552" w:type="pct"/>
            <w:noWrap/>
          </w:tcPr>
          <w:p w14:paraId="1B4A9F7E" w14:textId="77777777" w:rsidR="004D122C" w:rsidRPr="00151A54" w:rsidRDefault="00151A54" w:rsidP="00151A54">
            <w:pPr>
              <w:rPr>
                <w:bCs/>
                <w:sz w:val="24"/>
                <w:szCs w:val="24"/>
              </w:rPr>
            </w:pPr>
            <w:r w:rsidRPr="00151A54">
              <w:rPr>
                <w:bCs/>
                <w:sz w:val="24"/>
                <w:szCs w:val="24"/>
                <w:lang w:val="en-US"/>
              </w:rPr>
              <w:t>0.004</w:t>
            </w:r>
          </w:p>
        </w:tc>
      </w:tr>
      <w:tr w:rsidR="004D122C" w:rsidRPr="00151A54" w14:paraId="757F840F" w14:textId="77777777" w:rsidTr="00151A54">
        <w:trPr>
          <w:trHeight w:val="20"/>
        </w:trPr>
        <w:tc>
          <w:tcPr>
            <w:tcW w:w="888" w:type="pct"/>
            <w:gridSpan w:val="2"/>
            <w:noWrap/>
            <w:hideMark/>
          </w:tcPr>
          <w:p w14:paraId="4B6823C4" w14:textId="77777777" w:rsidR="004D122C" w:rsidRPr="00151A54" w:rsidRDefault="004D122C" w:rsidP="00151A54">
            <w:pPr>
              <w:ind w:firstLine="709"/>
              <w:rPr>
                <w:b/>
                <w:bCs/>
                <w:sz w:val="24"/>
                <w:szCs w:val="24"/>
              </w:rPr>
            </w:pPr>
            <w:r w:rsidRPr="00151A54">
              <w:rPr>
                <w:bCs/>
                <w:color w:val="000000"/>
                <w:sz w:val="24"/>
                <w:szCs w:val="24"/>
              </w:rPr>
              <w:t xml:space="preserve">4 </w:t>
            </w:r>
            <w:proofErr w:type="spellStart"/>
            <w:r w:rsidRPr="00151A54">
              <w:rPr>
                <w:bCs/>
                <w:color w:val="000000"/>
                <w:sz w:val="24"/>
                <w:szCs w:val="24"/>
              </w:rPr>
              <w:t>day</w:t>
            </w:r>
            <w:proofErr w:type="spellEnd"/>
          </w:p>
        </w:tc>
        <w:tc>
          <w:tcPr>
            <w:tcW w:w="782" w:type="pct"/>
            <w:gridSpan w:val="3"/>
            <w:noWrap/>
            <w:hideMark/>
          </w:tcPr>
          <w:p w14:paraId="7530FD87" w14:textId="77777777" w:rsidR="004D122C" w:rsidRPr="00151A54" w:rsidRDefault="004D122C" w:rsidP="00151A54">
            <w:pPr>
              <w:rPr>
                <w:color w:val="000000"/>
                <w:sz w:val="24"/>
                <w:szCs w:val="24"/>
              </w:rPr>
            </w:pPr>
            <w:r w:rsidRPr="00151A54">
              <w:rPr>
                <w:bCs/>
                <w:color w:val="000000"/>
                <w:sz w:val="24"/>
                <w:szCs w:val="24"/>
              </w:rPr>
              <w:t>0.27</w:t>
            </w:r>
          </w:p>
        </w:tc>
        <w:tc>
          <w:tcPr>
            <w:tcW w:w="612" w:type="pct"/>
            <w:gridSpan w:val="2"/>
          </w:tcPr>
          <w:p w14:paraId="737B1063" w14:textId="77777777" w:rsidR="004D122C" w:rsidRPr="00151A54" w:rsidRDefault="004D122C" w:rsidP="00151A54">
            <w:pPr>
              <w:rPr>
                <w:color w:val="000000"/>
                <w:sz w:val="24"/>
                <w:szCs w:val="24"/>
                <w:lang w:val="en-US"/>
              </w:rPr>
            </w:pPr>
            <w:r w:rsidRPr="00151A54">
              <w:rPr>
                <w:color w:val="000000"/>
                <w:sz w:val="24"/>
                <w:szCs w:val="24"/>
                <w:lang w:val="en-US"/>
              </w:rPr>
              <w:t>0.57</w:t>
            </w:r>
          </w:p>
        </w:tc>
        <w:tc>
          <w:tcPr>
            <w:tcW w:w="627" w:type="pct"/>
          </w:tcPr>
          <w:p w14:paraId="533098FB" w14:textId="77777777" w:rsidR="004D122C" w:rsidRPr="00151A54" w:rsidRDefault="004D122C" w:rsidP="00151A54">
            <w:pPr>
              <w:rPr>
                <w:color w:val="000000"/>
                <w:sz w:val="24"/>
                <w:szCs w:val="24"/>
              </w:rPr>
            </w:pPr>
            <w:r w:rsidRPr="00151A54">
              <w:rPr>
                <w:bCs/>
                <w:color w:val="000000"/>
                <w:sz w:val="24"/>
                <w:szCs w:val="24"/>
              </w:rPr>
              <w:t>1.3</w:t>
            </w:r>
          </w:p>
        </w:tc>
        <w:tc>
          <w:tcPr>
            <w:tcW w:w="763" w:type="pct"/>
            <w:gridSpan w:val="2"/>
            <w:vAlign w:val="center"/>
          </w:tcPr>
          <w:p w14:paraId="0A69A822" w14:textId="77777777" w:rsidR="004D122C" w:rsidRPr="00151A54" w:rsidRDefault="004D122C" w:rsidP="00151A54">
            <w:pPr>
              <w:rPr>
                <w:sz w:val="24"/>
                <w:szCs w:val="24"/>
              </w:rPr>
            </w:pPr>
            <w:r w:rsidRPr="00151A54">
              <w:rPr>
                <w:sz w:val="24"/>
                <w:szCs w:val="24"/>
              </w:rPr>
              <w:t>0.95</w:t>
            </w:r>
          </w:p>
        </w:tc>
        <w:tc>
          <w:tcPr>
            <w:tcW w:w="777" w:type="pct"/>
            <w:gridSpan w:val="3"/>
          </w:tcPr>
          <w:p w14:paraId="1263D6C1" w14:textId="77777777" w:rsidR="004D122C" w:rsidRPr="00151A54" w:rsidRDefault="004D122C" w:rsidP="00151A54">
            <w:pPr>
              <w:rPr>
                <w:sz w:val="24"/>
                <w:szCs w:val="24"/>
              </w:rPr>
            </w:pPr>
            <w:r w:rsidRPr="00151A54">
              <w:rPr>
                <w:sz w:val="24"/>
                <w:szCs w:val="24"/>
              </w:rPr>
              <w:t>5.0</w:t>
            </w:r>
          </w:p>
        </w:tc>
        <w:tc>
          <w:tcPr>
            <w:tcW w:w="552" w:type="pct"/>
            <w:noWrap/>
            <w:hideMark/>
          </w:tcPr>
          <w:p w14:paraId="1B3258A5" w14:textId="77777777" w:rsidR="004D122C" w:rsidRPr="00151A54" w:rsidRDefault="00151A54" w:rsidP="00151A54">
            <w:pPr>
              <w:rPr>
                <w:sz w:val="24"/>
                <w:szCs w:val="24"/>
              </w:rPr>
            </w:pPr>
            <w:r w:rsidRPr="00151A54">
              <w:rPr>
                <w:bCs/>
                <w:sz w:val="24"/>
                <w:szCs w:val="24"/>
                <w:lang w:val="en-US"/>
              </w:rPr>
              <w:t>0.009</w:t>
            </w:r>
          </w:p>
        </w:tc>
      </w:tr>
      <w:tr w:rsidR="004D122C" w:rsidRPr="00151A54" w14:paraId="6F71980D" w14:textId="77777777" w:rsidTr="00151A54">
        <w:trPr>
          <w:trHeight w:val="20"/>
        </w:trPr>
        <w:tc>
          <w:tcPr>
            <w:tcW w:w="888" w:type="pct"/>
            <w:gridSpan w:val="2"/>
            <w:noWrap/>
          </w:tcPr>
          <w:p w14:paraId="37FA36A6" w14:textId="77777777" w:rsidR="004D122C" w:rsidRPr="00151A54" w:rsidRDefault="004D122C" w:rsidP="00151A54">
            <w:pPr>
              <w:ind w:firstLine="709"/>
              <w:rPr>
                <w:bCs/>
                <w:color w:val="000000"/>
                <w:sz w:val="24"/>
                <w:szCs w:val="24"/>
              </w:rPr>
            </w:pPr>
            <w:r w:rsidRPr="00151A54">
              <w:rPr>
                <w:bCs/>
                <w:color w:val="000000"/>
                <w:sz w:val="24"/>
                <w:szCs w:val="24"/>
              </w:rPr>
              <w:t xml:space="preserve">5 </w:t>
            </w:r>
            <w:proofErr w:type="spellStart"/>
            <w:r w:rsidRPr="00151A54">
              <w:rPr>
                <w:bCs/>
                <w:color w:val="000000"/>
                <w:sz w:val="24"/>
                <w:szCs w:val="24"/>
              </w:rPr>
              <w:t>day</w:t>
            </w:r>
            <w:proofErr w:type="spellEnd"/>
          </w:p>
        </w:tc>
        <w:tc>
          <w:tcPr>
            <w:tcW w:w="782" w:type="pct"/>
            <w:gridSpan w:val="3"/>
            <w:noWrap/>
          </w:tcPr>
          <w:p w14:paraId="150F5A3F" w14:textId="77777777" w:rsidR="004D122C" w:rsidRPr="00151A54" w:rsidRDefault="004D122C" w:rsidP="00151A54">
            <w:pPr>
              <w:rPr>
                <w:color w:val="000000"/>
                <w:sz w:val="24"/>
                <w:szCs w:val="24"/>
              </w:rPr>
            </w:pPr>
            <w:r w:rsidRPr="00151A54">
              <w:rPr>
                <w:bCs/>
                <w:color w:val="000000"/>
                <w:sz w:val="24"/>
                <w:szCs w:val="24"/>
              </w:rPr>
              <w:t>0.24</w:t>
            </w:r>
          </w:p>
        </w:tc>
        <w:tc>
          <w:tcPr>
            <w:tcW w:w="612" w:type="pct"/>
            <w:gridSpan w:val="2"/>
          </w:tcPr>
          <w:p w14:paraId="0905D17F" w14:textId="77777777" w:rsidR="004D122C" w:rsidRPr="00151A54" w:rsidRDefault="004D122C" w:rsidP="00151A54">
            <w:pPr>
              <w:rPr>
                <w:color w:val="000000"/>
                <w:sz w:val="24"/>
                <w:szCs w:val="24"/>
                <w:lang w:val="en-US"/>
              </w:rPr>
            </w:pPr>
            <w:r w:rsidRPr="00151A54">
              <w:rPr>
                <w:color w:val="000000"/>
                <w:sz w:val="24"/>
                <w:szCs w:val="24"/>
                <w:lang w:val="en-US"/>
              </w:rPr>
              <w:t>0.24</w:t>
            </w:r>
          </w:p>
        </w:tc>
        <w:tc>
          <w:tcPr>
            <w:tcW w:w="627" w:type="pct"/>
          </w:tcPr>
          <w:p w14:paraId="3F42A7DD" w14:textId="77777777" w:rsidR="004D122C" w:rsidRPr="00151A54" w:rsidRDefault="004D122C" w:rsidP="00151A54">
            <w:pPr>
              <w:rPr>
                <w:color w:val="000000"/>
                <w:sz w:val="24"/>
                <w:szCs w:val="24"/>
              </w:rPr>
            </w:pPr>
            <w:r w:rsidRPr="00151A54">
              <w:rPr>
                <w:bCs/>
                <w:color w:val="000000"/>
                <w:sz w:val="24"/>
                <w:szCs w:val="24"/>
              </w:rPr>
              <w:t>1.26</w:t>
            </w:r>
          </w:p>
        </w:tc>
        <w:tc>
          <w:tcPr>
            <w:tcW w:w="763" w:type="pct"/>
            <w:gridSpan w:val="2"/>
            <w:vAlign w:val="center"/>
          </w:tcPr>
          <w:p w14:paraId="7B2EA1FF" w14:textId="77777777" w:rsidR="004D122C" w:rsidRPr="00151A54" w:rsidRDefault="004D122C" w:rsidP="00151A54">
            <w:pPr>
              <w:rPr>
                <w:sz w:val="24"/>
                <w:szCs w:val="24"/>
              </w:rPr>
            </w:pPr>
            <w:r w:rsidRPr="00151A54">
              <w:rPr>
                <w:sz w:val="24"/>
                <w:szCs w:val="24"/>
              </w:rPr>
              <w:t>0.4</w:t>
            </w:r>
          </w:p>
        </w:tc>
        <w:tc>
          <w:tcPr>
            <w:tcW w:w="777" w:type="pct"/>
            <w:gridSpan w:val="3"/>
          </w:tcPr>
          <w:p w14:paraId="4709B63D" w14:textId="77777777" w:rsidR="004D122C" w:rsidRPr="00151A54" w:rsidRDefault="004D122C" w:rsidP="00151A54">
            <w:pPr>
              <w:rPr>
                <w:sz w:val="24"/>
                <w:szCs w:val="24"/>
              </w:rPr>
            </w:pPr>
            <w:r w:rsidRPr="00151A54">
              <w:rPr>
                <w:sz w:val="24"/>
                <w:szCs w:val="24"/>
              </w:rPr>
              <w:t>20.0</w:t>
            </w:r>
          </w:p>
        </w:tc>
        <w:tc>
          <w:tcPr>
            <w:tcW w:w="552" w:type="pct"/>
            <w:noWrap/>
          </w:tcPr>
          <w:p w14:paraId="5AA10CB6" w14:textId="77777777" w:rsidR="004D122C" w:rsidRPr="00151A54" w:rsidRDefault="00151A54" w:rsidP="00151A54">
            <w:pPr>
              <w:rPr>
                <w:sz w:val="24"/>
                <w:szCs w:val="24"/>
              </w:rPr>
            </w:pPr>
            <w:r w:rsidRPr="00151A54">
              <w:rPr>
                <w:bCs/>
                <w:sz w:val="24"/>
                <w:szCs w:val="24"/>
                <w:lang w:val="en-US"/>
              </w:rPr>
              <w:t>0.001</w:t>
            </w:r>
          </w:p>
        </w:tc>
      </w:tr>
      <w:tr w:rsidR="004D122C" w:rsidRPr="00151A54" w14:paraId="025DEA20" w14:textId="77777777" w:rsidTr="00151A54">
        <w:trPr>
          <w:trHeight w:val="20"/>
        </w:trPr>
        <w:tc>
          <w:tcPr>
            <w:tcW w:w="888" w:type="pct"/>
            <w:gridSpan w:val="2"/>
            <w:noWrap/>
          </w:tcPr>
          <w:p w14:paraId="73E3272D" w14:textId="77777777" w:rsidR="004D122C" w:rsidRPr="00151A54" w:rsidRDefault="004D122C" w:rsidP="00151A54">
            <w:pPr>
              <w:ind w:firstLine="709"/>
              <w:rPr>
                <w:bCs/>
                <w:color w:val="000000"/>
                <w:sz w:val="24"/>
                <w:szCs w:val="24"/>
              </w:rPr>
            </w:pPr>
            <w:r w:rsidRPr="00151A54">
              <w:rPr>
                <w:bCs/>
                <w:color w:val="000000"/>
                <w:sz w:val="24"/>
                <w:szCs w:val="24"/>
              </w:rPr>
              <w:t xml:space="preserve">6 </w:t>
            </w:r>
            <w:proofErr w:type="spellStart"/>
            <w:r w:rsidRPr="00151A54">
              <w:rPr>
                <w:bCs/>
                <w:color w:val="000000"/>
                <w:sz w:val="24"/>
                <w:szCs w:val="24"/>
              </w:rPr>
              <w:t>days</w:t>
            </w:r>
            <w:proofErr w:type="spellEnd"/>
          </w:p>
        </w:tc>
        <w:tc>
          <w:tcPr>
            <w:tcW w:w="782" w:type="pct"/>
            <w:gridSpan w:val="3"/>
            <w:noWrap/>
          </w:tcPr>
          <w:p w14:paraId="6C62DE4F" w14:textId="77777777" w:rsidR="004D122C" w:rsidRPr="00151A54" w:rsidRDefault="004D122C" w:rsidP="00151A54">
            <w:pPr>
              <w:rPr>
                <w:color w:val="000000"/>
                <w:sz w:val="24"/>
                <w:szCs w:val="24"/>
              </w:rPr>
            </w:pPr>
            <w:r w:rsidRPr="00151A54">
              <w:rPr>
                <w:bCs/>
                <w:color w:val="000000"/>
                <w:sz w:val="24"/>
                <w:szCs w:val="24"/>
              </w:rPr>
              <w:t>0.22</w:t>
            </w:r>
          </w:p>
        </w:tc>
        <w:tc>
          <w:tcPr>
            <w:tcW w:w="612" w:type="pct"/>
            <w:gridSpan w:val="2"/>
          </w:tcPr>
          <w:p w14:paraId="27F76B5F" w14:textId="77777777" w:rsidR="004D122C" w:rsidRPr="00151A54" w:rsidRDefault="004D122C" w:rsidP="00151A54">
            <w:pPr>
              <w:rPr>
                <w:color w:val="000000"/>
                <w:sz w:val="24"/>
                <w:szCs w:val="24"/>
                <w:lang w:val="en-US"/>
              </w:rPr>
            </w:pPr>
            <w:r w:rsidRPr="00151A54">
              <w:rPr>
                <w:color w:val="000000"/>
                <w:sz w:val="24"/>
                <w:szCs w:val="24"/>
                <w:lang w:val="en-US"/>
              </w:rPr>
              <w:t>0.13</w:t>
            </w:r>
          </w:p>
        </w:tc>
        <w:tc>
          <w:tcPr>
            <w:tcW w:w="627" w:type="pct"/>
          </w:tcPr>
          <w:p w14:paraId="59DED9ED" w14:textId="77777777" w:rsidR="004D122C" w:rsidRPr="00151A54" w:rsidRDefault="004D122C" w:rsidP="00151A54">
            <w:pPr>
              <w:rPr>
                <w:color w:val="000000"/>
                <w:sz w:val="24"/>
                <w:szCs w:val="24"/>
              </w:rPr>
            </w:pPr>
            <w:r w:rsidRPr="00151A54">
              <w:rPr>
                <w:bCs/>
                <w:color w:val="000000"/>
                <w:sz w:val="24"/>
                <w:szCs w:val="24"/>
              </w:rPr>
              <w:t>1.15</w:t>
            </w:r>
          </w:p>
        </w:tc>
        <w:tc>
          <w:tcPr>
            <w:tcW w:w="763" w:type="pct"/>
            <w:gridSpan w:val="2"/>
            <w:vAlign w:val="center"/>
          </w:tcPr>
          <w:p w14:paraId="555B3EB3" w14:textId="77777777" w:rsidR="004D122C" w:rsidRPr="00151A54" w:rsidRDefault="004D122C" w:rsidP="00151A54">
            <w:pPr>
              <w:rPr>
                <w:sz w:val="24"/>
                <w:szCs w:val="24"/>
              </w:rPr>
            </w:pPr>
            <w:r w:rsidRPr="00151A54">
              <w:rPr>
                <w:sz w:val="24"/>
                <w:szCs w:val="24"/>
              </w:rPr>
              <w:t>0.22</w:t>
            </w:r>
          </w:p>
        </w:tc>
        <w:tc>
          <w:tcPr>
            <w:tcW w:w="777" w:type="pct"/>
            <w:gridSpan w:val="3"/>
          </w:tcPr>
          <w:p w14:paraId="28813E8F" w14:textId="77777777" w:rsidR="004D122C" w:rsidRPr="00151A54" w:rsidRDefault="004D122C" w:rsidP="00151A54">
            <w:pPr>
              <w:rPr>
                <w:sz w:val="24"/>
                <w:szCs w:val="24"/>
              </w:rPr>
            </w:pPr>
            <w:r w:rsidRPr="00151A54">
              <w:rPr>
                <w:sz w:val="24"/>
                <w:szCs w:val="24"/>
              </w:rPr>
              <w:t>11.0</w:t>
            </w:r>
          </w:p>
        </w:tc>
        <w:tc>
          <w:tcPr>
            <w:tcW w:w="552" w:type="pct"/>
            <w:noWrap/>
          </w:tcPr>
          <w:p w14:paraId="0149AC26" w14:textId="77777777" w:rsidR="004D122C" w:rsidRPr="00151A54" w:rsidRDefault="00151A54" w:rsidP="00151A54">
            <w:pPr>
              <w:rPr>
                <w:sz w:val="24"/>
                <w:szCs w:val="24"/>
              </w:rPr>
            </w:pPr>
            <w:r w:rsidRPr="00151A54">
              <w:rPr>
                <w:bCs/>
                <w:sz w:val="24"/>
                <w:szCs w:val="24"/>
                <w:lang w:val="en-US"/>
              </w:rPr>
              <w:t>0.003</w:t>
            </w:r>
          </w:p>
        </w:tc>
      </w:tr>
      <w:tr w:rsidR="004D122C" w:rsidRPr="00151A54" w14:paraId="04863BBD" w14:textId="77777777" w:rsidTr="00151A54">
        <w:trPr>
          <w:trHeight w:val="20"/>
        </w:trPr>
        <w:tc>
          <w:tcPr>
            <w:tcW w:w="888" w:type="pct"/>
            <w:gridSpan w:val="2"/>
            <w:noWrap/>
          </w:tcPr>
          <w:p w14:paraId="67EB8991" w14:textId="77777777" w:rsidR="004D122C" w:rsidRPr="00151A54" w:rsidRDefault="004D122C" w:rsidP="00151A54">
            <w:pPr>
              <w:ind w:firstLine="709"/>
              <w:rPr>
                <w:bCs/>
                <w:color w:val="000000"/>
                <w:sz w:val="24"/>
                <w:szCs w:val="24"/>
              </w:rPr>
            </w:pPr>
            <w:r w:rsidRPr="00151A54">
              <w:rPr>
                <w:bCs/>
                <w:color w:val="000000"/>
                <w:sz w:val="24"/>
                <w:szCs w:val="24"/>
              </w:rPr>
              <w:t xml:space="preserve">7 </w:t>
            </w:r>
            <w:proofErr w:type="spellStart"/>
            <w:r w:rsidRPr="00151A54">
              <w:rPr>
                <w:bCs/>
                <w:color w:val="000000"/>
                <w:sz w:val="24"/>
                <w:szCs w:val="24"/>
              </w:rPr>
              <w:t>days</w:t>
            </w:r>
            <w:proofErr w:type="spellEnd"/>
          </w:p>
        </w:tc>
        <w:tc>
          <w:tcPr>
            <w:tcW w:w="782" w:type="pct"/>
            <w:gridSpan w:val="3"/>
            <w:noWrap/>
          </w:tcPr>
          <w:p w14:paraId="52097100" w14:textId="77777777" w:rsidR="004D122C" w:rsidRPr="00151A54" w:rsidRDefault="004D122C" w:rsidP="00151A54">
            <w:pPr>
              <w:rPr>
                <w:color w:val="000000"/>
                <w:sz w:val="24"/>
                <w:szCs w:val="24"/>
              </w:rPr>
            </w:pPr>
            <w:r w:rsidRPr="00151A54">
              <w:rPr>
                <w:bCs/>
                <w:color w:val="000000"/>
                <w:sz w:val="24"/>
                <w:szCs w:val="24"/>
              </w:rPr>
              <w:t>0.21</w:t>
            </w:r>
          </w:p>
        </w:tc>
        <w:tc>
          <w:tcPr>
            <w:tcW w:w="612" w:type="pct"/>
            <w:gridSpan w:val="2"/>
          </w:tcPr>
          <w:p w14:paraId="4F40FF1D" w14:textId="77777777" w:rsidR="004D122C" w:rsidRPr="00151A54" w:rsidRDefault="004D122C" w:rsidP="00151A54">
            <w:pPr>
              <w:rPr>
                <w:color w:val="000000"/>
                <w:sz w:val="24"/>
                <w:szCs w:val="24"/>
                <w:lang w:val="en-US"/>
              </w:rPr>
            </w:pPr>
            <w:r w:rsidRPr="00151A54">
              <w:rPr>
                <w:color w:val="000000"/>
                <w:sz w:val="24"/>
                <w:szCs w:val="24"/>
                <w:lang w:val="en-US"/>
              </w:rPr>
              <w:t>0.23</w:t>
            </w:r>
          </w:p>
        </w:tc>
        <w:tc>
          <w:tcPr>
            <w:tcW w:w="627" w:type="pct"/>
          </w:tcPr>
          <w:p w14:paraId="0B87EDE1" w14:textId="77777777" w:rsidR="004D122C" w:rsidRPr="00151A54" w:rsidRDefault="004D122C" w:rsidP="00151A54">
            <w:pPr>
              <w:rPr>
                <w:color w:val="000000"/>
                <w:sz w:val="24"/>
                <w:szCs w:val="24"/>
              </w:rPr>
            </w:pPr>
            <w:r w:rsidRPr="00151A54">
              <w:rPr>
                <w:bCs/>
                <w:color w:val="000000"/>
                <w:sz w:val="24"/>
                <w:szCs w:val="24"/>
              </w:rPr>
              <w:t>1.11</w:t>
            </w:r>
          </w:p>
        </w:tc>
        <w:tc>
          <w:tcPr>
            <w:tcW w:w="763" w:type="pct"/>
            <w:gridSpan w:val="2"/>
            <w:vAlign w:val="center"/>
          </w:tcPr>
          <w:p w14:paraId="78BD8B41" w14:textId="77777777" w:rsidR="004D122C" w:rsidRPr="00151A54" w:rsidRDefault="004D122C" w:rsidP="00151A54">
            <w:pPr>
              <w:rPr>
                <w:sz w:val="24"/>
                <w:szCs w:val="24"/>
              </w:rPr>
            </w:pPr>
            <w:r w:rsidRPr="00151A54">
              <w:rPr>
                <w:sz w:val="24"/>
                <w:szCs w:val="24"/>
              </w:rPr>
              <w:t>0.39</w:t>
            </w:r>
          </w:p>
        </w:tc>
        <w:tc>
          <w:tcPr>
            <w:tcW w:w="777" w:type="pct"/>
            <w:gridSpan w:val="3"/>
          </w:tcPr>
          <w:p w14:paraId="1A943780" w14:textId="77777777" w:rsidR="004D122C" w:rsidRPr="00151A54" w:rsidRDefault="004D122C" w:rsidP="00151A54">
            <w:pPr>
              <w:rPr>
                <w:sz w:val="24"/>
                <w:szCs w:val="24"/>
              </w:rPr>
            </w:pPr>
            <w:r w:rsidRPr="00151A54">
              <w:rPr>
                <w:sz w:val="24"/>
                <w:szCs w:val="24"/>
              </w:rPr>
              <w:t>8.0</w:t>
            </w:r>
          </w:p>
        </w:tc>
        <w:tc>
          <w:tcPr>
            <w:tcW w:w="552" w:type="pct"/>
            <w:noWrap/>
          </w:tcPr>
          <w:p w14:paraId="4321D8C8" w14:textId="77777777" w:rsidR="004D122C" w:rsidRPr="00151A54" w:rsidRDefault="00151A54" w:rsidP="00151A54">
            <w:pPr>
              <w:rPr>
                <w:sz w:val="24"/>
                <w:szCs w:val="24"/>
              </w:rPr>
            </w:pPr>
            <w:r w:rsidRPr="00151A54">
              <w:rPr>
                <w:bCs/>
                <w:sz w:val="24"/>
                <w:szCs w:val="24"/>
                <w:lang w:val="en-US"/>
              </w:rPr>
              <w:t>0.006</w:t>
            </w:r>
          </w:p>
        </w:tc>
      </w:tr>
      <w:tr w:rsidR="004D122C" w:rsidRPr="00324344" w14:paraId="378A7DB1" w14:textId="77777777" w:rsidTr="00151A54">
        <w:trPr>
          <w:trHeight w:val="20"/>
        </w:trPr>
        <w:tc>
          <w:tcPr>
            <w:tcW w:w="554" w:type="pct"/>
          </w:tcPr>
          <w:p w14:paraId="2CAE754A" w14:textId="77777777" w:rsidR="004D122C" w:rsidRPr="00151A54" w:rsidRDefault="004D122C" w:rsidP="00151A54">
            <w:pPr>
              <w:ind w:firstLine="709"/>
              <w:rPr>
                <w:sz w:val="24"/>
                <w:szCs w:val="24"/>
              </w:rPr>
            </w:pPr>
          </w:p>
        </w:tc>
        <w:tc>
          <w:tcPr>
            <w:tcW w:w="777" w:type="pct"/>
            <w:gridSpan w:val="2"/>
          </w:tcPr>
          <w:p w14:paraId="3BD65121" w14:textId="77777777" w:rsidR="004D122C" w:rsidRPr="00151A54" w:rsidRDefault="004D122C" w:rsidP="00151A54">
            <w:pPr>
              <w:ind w:firstLine="709"/>
              <w:rPr>
                <w:sz w:val="24"/>
                <w:szCs w:val="24"/>
              </w:rPr>
            </w:pPr>
          </w:p>
        </w:tc>
        <w:tc>
          <w:tcPr>
            <w:tcW w:w="3669" w:type="pct"/>
            <w:gridSpan w:val="11"/>
            <w:noWrap/>
          </w:tcPr>
          <w:p w14:paraId="27F33023" w14:textId="77777777" w:rsidR="004D122C" w:rsidRPr="00B90F53" w:rsidRDefault="004D122C" w:rsidP="00151A54">
            <w:pPr>
              <w:ind w:firstLine="709"/>
              <w:rPr>
                <w:sz w:val="24"/>
                <w:szCs w:val="24"/>
                <w:lang w:val="en-US"/>
              </w:rPr>
            </w:pPr>
            <w:r w:rsidRPr="00B90F53">
              <w:rPr>
                <w:sz w:val="24"/>
                <w:szCs w:val="24"/>
                <w:lang w:val="en-US"/>
              </w:rPr>
              <w:t>Note: Me-median of values, IQR-interquartile</w:t>
            </w:r>
            <w:r w:rsidR="004C2F20" w:rsidRPr="00B90F53">
              <w:rPr>
                <w:sz w:val="24"/>
                <w:szCs w:val="24"/>
                <w:lang w:val="en-US"/>
              </w:rPr>
              <w:t xml:space="preserve"> </w:t>
            </w:r>
            <w:r w:rsidRPr="00B90F53">
              <w:rPr>
                <w:sz w:val="24"/>
                <w:szCs w:val="24"/>
                <w:lang w:val="en-US"/>
              </w:rPr>
              <w:t>range, U-Mann-Whitney test for k-independent groups)</w:t>
            </w:r>
          </w:p>
        </w:tc>
      </w:tr>
    </w:tbl>
    <w:p w14:paraId="5704B402" w14:textId="77777777" w:rsidR="00CF085E" w:rsidRPr="00B90F53" w:rsidRDefault="00CF085E" w:rsidP="00A54905">
      <w:pPr>
        <w:ind w:firstLine="709"/>
        <w:jc w:val="both"/>
        <w:rPr>
          <w:sz w:val="28"/>
          <w:szCs w:val="28"/>
          <w:lang w:val="en-US"/>
        </w:rPr>
      </w:pPr>
    </w:p>
    <w:p w14:paraId="6A7AA038" w14:textId="29CAB65A" w:rsidR="00511156" w:rsidRPr="00A40587" w:rsidRDefault="00511156" w:rsidP="00A54905">
      <w:pPr>
        <w:ind w:firstLine="709"/>
        <w:jc w:val="both"/>
        <w:rPr>
          <w:sz w:val="28"/>
          <w:szCs w:val="28"/>
          <w:lang w:val="en-US"/>
        </w:rPr>
      </w:pPr>
      <w:r w:rsidRPr="00A40587">
        <w:rPr>
          <w:sz w:val="28"/>
          <w:szCs w:val="28"/>
          <w:lang w:val="en-US"/>
        </w:rPr>
        <w:t xml:space="preserve">As can be seen from Table 2, </w:t>
      </w:r>
      <w:r w:rsidR="001E6380">
        <w:rPr>
          <w:sz w:val="28"/>
          <w:szCs w:val="28"/>
          <w:lang w:val="en-US"/>
        </w:rPr>
        <w:t xml:space="preserve">the </w:t>
      </w:r>
      <w:r w:rsidRPr="00A40587">
        <w:rPr>
          <w:sz w:val="28"/>
          <w:szCs w:val="28"/>
          <w:lang w:val="en-US"/>
        </w:rPr>
        <w:t>bone</w:t>
      </w:r>
      <w:r w:rsidR="00CE7122">
        <w:rPr>
          <w:sz w:val="28"/>
          <w:szCs w:val="28"/>
          <w:lang w:val="en-US"/>
        </w:rPr>
        <w:t xml:space="preserve"> </w:t>
      </w:r>
      <w:r w:rsidRPr="00A40587">
        <w:rPr>
          <w:sz w:val="28"/>
          <w:szCs w:val="28"/>
          <w:lang w:val="en-US"/>
        </w:rPr>
        <w:t xml:space="preserve">allograft provides a higher and longer retention of gentamicin in soft tissues adjacent to the implantation area. At the same time, when using </w:t>
      </w:r>
      <w:proofErr w:type="spellStart"/>
      <w:r w:rsidRPr="00A40587">
        <w:rPr>
          <w:sz w:val="28"/>
          <w:szCs w:val="28"/>
          <w:lang w:val="en-US"/>
        </w:rPr>
        <w:t>PerOssal</w:t>
      </w:r>
      <w:proofErr w:type="spellEnd"/>
      <w:r w:rsidRPr="00A40587">
        <w:rPr>
          <w:sz w:val="28"/>
          <w:szCs w:val="28"/>
          <w:lang w:val="en-US"/>
        </w:rPr>
        <w:t xml:space="preserve">® granules, the presence of an antibiotic in the tissues was also observed throughout the entire </w:t>
      </w:r>
      <w:r w:rsidR="00CE7122">
        <w:rPr>
          <w:sz w:val="28"/>
          <w:szCs w:val="28"/>
          <w:lang w:val="en-US"/>
        </w:rPr>
        <w:t xml:space="preserve">observation </w:t>
      </w:r>
      <w:r w:rsidRPr="00A40587">
        <w:rPr>
          <w:sz w:val="28"/>
          <w:szCs w:val="28"/>
          <w:lang w:val="en-US"/>
        </w:rPr>
        <w:t>period, but its concentration was lower and decreased more significantly.</w:t>
      </w:r>
    </w:p>
    <w:p w14:paraId="061D14FD" w14:textId="2C8C7391" w:rsidR="00F55C1D" w:rsidRPr="00CE7122" w:rsidRDefault="0048430C" w:rsidP="00CE7122">
      <w:pPr>
        <w:ind w:firstLine="709"/>
        <w:jc w:val="both"/>
        <w:rPr>
          <w:sz w:val="28"/>
          <w:szCs w:val="28"/>
          <w:lang w:val="en-US"/>
        </w:rPr>
      </w:pPr>
      <w:r w:rsidRPr="00B90F53">
        <w:rPr>
          <w:sz w:val="28"/>
          <w:szCs w:val="28"/>
          <w:lang w:val="en-US"/>
        </w:rPr>
        <w:t xml:space="preserve">A comparative analysis of radiological signs of experimental osteomyelitis was performed in animals treated with a bone </w:t>
      </w:r>
      <w:proofErr w:type="spellStart"/>
      <w:r w:rsidRPr="00B90F53">
        <w:rPr>
          <w:sz w:val="28"/>
          <w:szCs w:val="28"/>
          <w:lang w:val="en-US"/>
        </w:rPr>
        <w:t>allograph</w:t>
      </w:r>
      <w:r w:rsidR="00601E4F">
        <w:rPr>
          <w:sz w:val="28"/>
          <w:szCs w:val="28"/>
          <w:lang w:val="en-US"/>
        </w:rPr>
        <w:t>t</w:t>
      </w:r>
      <w:proofErr w:type="spellEnd"/>
      <w:r w:rsidRPr="00B90F53">
        <w:rPr>
          <w:sz w:val="28"/>
          <w:szCs w:val="28"/>
          <w:lang w:val="en-US"/>
        </w:rPr>
        <w:t xml:space="preserve"> and </w:t>
      </w:r>
      <w:proofErr w:type="spellStart"/>
      <w:r w:rsidRPr="00B90F53">
        <w:rPr>
          <w:sz w:val="28"/>
          <w:szCs w:val="28"/>
          <w:lang w:val="en-US"/>
        </w:rPr>
        <w:t>PerOssal</w:t>
      </w:r>
      <w:proofErr w:type="spellEnd"/>
      <w:r w:rsidRPr="00B90F53">
        <w:rPr>
          <w:sz w:val="28"/>
          <w:szCs w:val="28"/>
          <w:lang w:val="en-US"/>
        </w:rPr>
        <w:t xml:space="preserve">® material, according to a binary scale on the 14th, 28th and 42nd days of observation. Radiological severity of osteomyelitis was assessed on a binary scale that included focal osteolysis, sequestration, periosteal reaction, and signs of instability. Each feature was evaluated as 0 or 1; an increase in the total score corresponded to an increase in radiological manifestations of osteomyelitis. The median, interquartile range, and total score of radiological features were evaluated; intergroup differences were determined using the Mann-Whitney test. </w:t>
      </w:r>
      <w:r w:rsidRPr="00A40587">
        <w:rPr>
          <w:sz w:val="28"/>
          <w:szCs w:val="28"/>
          <w:lang w:val="en-US"/>
        </w:rPr>
        <w:t>(table 3)</w:t>
      </w:r>
    </w:p>
    <w:p w14:paraId="24BAED74" w14:textId="77777777" w:rsidR="00F55C1D" w:rsidRPr="00A40587" w:rsidRDefault="00F55C1D" w:rsidP="00151A54">
      <w:pPr>
        <w:ind w:left="567" w:firstLine="709"/>
        <w:jc w:val="center"/>
        <w:rPr>
          <w:sz w:val="24"/>
          <w:szCs w:val="24"/>
          <w:lang w:val="en-US"/>
        </w:rPr>
      </w:pPr>
    </w:p>
    <w:p w14:paraId="32342FD1" w14:textId="77777777" w:rsidR="00F55C1D" w:rsidRPr="00A40587" w:rsidRDefault="00F55C1D" w:rsidP="00151A54">
      <w:pPr>
        <w:ind w:left="567" w:firstLine="709"/>
        <w:jc w:val="center"/>
        <w:rPr>
          <w:sz w:val="24"/>
          <w:szCs w:val="24"/>
          <w:lang w:val="en-US"/>
        </w:rPr>
      </w:pPr>
    </w:p>
    <w:p w14:paraId="171B3301" w14:textId="77777777" w:rsidR="0048430C" w:rsidRPr="00A40587" w:rsidRDefault="0048430C" w:rsidP="00151A54">
      <w:pPr>
        <w:ind w:left="567" w:firstLine="709"/>
        <w:jc w:val="center"/>
        <w:rPr>
          <w:sz w:val="24"/>
          <w:szCs w:val="24"/>
          <w:lang w:val="en-US"/>
        </w:rPr>
      </w:pPr>
      <w:r w:rsidRPr="00A40587">
        <w:rPr>
          <w:sz w:val="24"/>
          <w:szCs w:val="24"/>
          <w:lang w:val="en-US"/>
        </w:rPr>
        <w:t>Table 3-Comparative analysis of radiological signs of experimental treatment of osteomyelitis (points on a binary scale)</w:t>
      </w:r>
    </w:p>
    <w:p w14:paraId="09806B2F" w14:textId="77777777" w:rsidR="0048430C" w:rsidRPr="00A40587" w:rsidRDefault="0048430C" w:rsidP="00A54905">
      <w:pPr>
        <w:ind w:left="567" w:firstLine="709"/>
        <w:jc w:val="both"/>
        <w:rPr>
          <w:sz w:val="28"/>
          <w:szCs w:val="28"/>
          <w:lang w:val="en-US"/>
        </w:rPr>
      </w:pPr>
    </w:p>
    <w:tbl>
      <w:tblPr>
        <w:tblStyle w:val="aa"/>
        <w:tblW w:w="9889" w:type="dxa"/>
        <w:tblLayout w:type="fixed"/>
        <w:tblLook w:val="04A0" w:firstRow="1" w:lastRow="0" w:firstColumn="1" w:lastColumn="0" w:noHBand="0" w:noVBand="1"/>
      </w:tblPr>
      <w:tblGrid>
        <w:gridCol w:w="1668"/>
        <w:gridCol w:w="772"/>
        <w:gridCol w:w="1650"/>
        <w:gridCol w:w="752"/>
        <w:gridCol w:w="697"/>
        <w:gridCol w:w="1515"/>
        <w:gridCol w:w="941"/>
        <w:gridCol w:w="1894"/>
      </w:tblGrid>
      <w:tr w:rsidR="0048430C" w:rsidRPr="00151A54" w14:paraId="609B50F3" w14:textId="77777777" w:rsidTr="00151A54">
        <w:trPr>
          <w:trHeight w:val="20"/>
        </w:trPr>
        <w:tc>
          <w:tcPr>
            <w:tcW w:w="1668" w:type="dxa"/>
          </w:tcPr>
          <w:p w14:paraId="1E9C97EF" w14:textId="77777777" w:rsidR="0048430C" w:rsidRPr="00151A54" w:rsidRDefault="0048430C" w:rsidP="00151A54">
            <w:pPr>
              <w:rPr>
                <w:sz w:val="24"/>
                <w:szCs w:val="24"/>
              </w:rPr>
            </w:pPr>
            <w:r w:rsidRPr="00151A54">
              <w:rPr>
                <w:sz w:val="24"/>
                <w:szCs w:val="24"/>
              </w:rPr>
              <w:t>Day</w:t>
            </w:r>
          </w:p>
        </w:tc>
        <w:tc>
          <w:tcPr>
            <w:tcW w:w="3174" w:type="dxa"/>
            <w:gridSpan w:val="3"/>
          </w:tcPr>
          <w:p w14:paraId="787D6597" w14:textId="77777777" w:rsidR="0048430C" w:rsidRPr="00151A54" w:rsidRDefault="0048430C" w:rsidP="00151A54">
            <w:pPr>
              <w:rPr>
                <w:sz w:val="24"/>
                <w:szCs w:val="24"/>
              </w:rPr>
            </w:pPr>
            <w:proofErr w:type="spellStart"/>
            <w:r w:rsidRPr="00151A54">
              <w:rPr>
                <w:sz w:val="24"/>
                <w:szCs w:val="24"/>
              </w:rPr>
              <w:t>Allograft</w:t>
            </w:r>
            <w:proofErr w:type="spellEnd"/>
            <w:r w:rsidRPr="00151A54">
              <w:rPr>
                <w:sz w:val="24"/>
                <w:szCs w:val="24"/>
              </w:rPr>
              <w:t xml:space="preserve"> </w:t>
            </w:r>
            <w:proofErr w:type="spellStart"/>
            <w:r w:rsidRPr="00151A54">
              <w:rPr>
                <w:sz w:val="24"/>
                <w:szCs w:val="24"/>
              </w:rPr>
              <w:t>day</w:t>
            </w:r>
            <w:proofErr w:type="spellEnd"/>
            <w:r w:rsidRPr="00151A54">
              <w:rPr>
                <w:sz w:val="24"/>
                <w:szCs w:val="24"/>
              </w:rPr>
              <w:t xml:space="preserve"> (</w:t>
            </w:r>
            <w:proofErr w:type="spellStart"/>
            <w:r w:rsidRPr="00151A54">
              <w:rPr>
                <w:sz w:val="24"/>
                <w:szCs w:val="24"/>
              </w:rPr>
              <w:t>points</w:t>
            </w:r>
            <w:proofErr w:type="spellEnd"/>
            <w:r w:rsidRPr="00151A54">
              <w:rPr>
                <w:sz w:val="24"/>
                <w:szCs w:val="24"/>
              </w:rPr>
              <w:t>)</w:t>
            </w:r>
          </w:p>
        </w:tc>
        <w:tc>
          <w:tcPr>
            <w:tcW w:w="3153" w:type="dxa"/>
            <w:gridSpan w:val="3"/>
          </w:tcPr>
          <w:p w14:paraId="7DAF53C7" w14:textId="77777777" w:rsidR="0048430C" w:rsidRPr="00151A54" w:rsidRDefault="0048430C" w:rsidP="00151A54">
            <w:pPr>
              <w:rPr>
                <w:sz w:val="24"/>
                <w:szCs w:val="24"/>
                <w:lang w:val="en-US"/>
              </w:rPr>
            </w:pPr>
            <w:proofErr w:type="spellStart"/>
            <w:r w:rsidRPr="00151A54">
              <w:rPr>
                <w:sz w:val="24"/>
                <w:szCs w:val="24"/>
              </w:rPr>
              <w:t>Perossal</w:t>
            </w:r>
            <w:proofErr w:type="spellEnd"/>
            <w:r w:rsidRPr="00151A54">
              <w:rPr>
                <w:sz w:val="24"/>
                <w:szCs w:val="24"/>
              </w:rPr>
              <w:t>® (</w:t>
            </w:r>
            <w:proofErr w:type="spellStart"/>
            <w:r w:rsidRPr="00151A54">
              <w:rPr>
                <w:sz w:val="24"/>
                <w:szCs w:val="24"/>
              </w:rPr>
              <w:t>points</w:t>
            </w:r>
            <w:proofErr w:type="spellEnd"/>
            <w:r w:rsidRPr="00151A54">
              <w:rPr>
                <w:sz w:val="24"/>
                <w:szCs w:val="24"/>
              </w:rPr>
              <w:t>)</w:t>
            </w:r>
          </w:p>
        </w:tc>
        <w:tc>
          <w:tcPr>
            <w:tcW w:w="1894" w:type="dxa"/>
          </w:tcPr>
          <w:p w14:paraId="4A2DF84C" w14:textId="77777777" w:rsidR="0048430C" w:rsidRPr="00151A54" w:rsidRDefault="0048430C" w:rsidP="00151A54">
            <w:pPr>
              <w:rPr>
                <w:sz w:val="24"/>
                <w:szCs w:val="24"/>
              </w:rPr>
            </w:pPr>
            <w:r w:rsidRPr="00151A54">
              <w:rPr>
                <w:sz w:val="24"/>
                <w:szCs w:val="24"/>
                <w:lang w:val="en-US"/>
              </w:rPr>
              <w:t>Mann Whitney p-test</w:t>
            </w:r>
          </w:p>
        </w:tc>
      </w:tr>
      <w:tr w:rsidR="0048430C" w:rsidRPr="00151A54" w14:paraId="0A6077B1" w14:textId="77777777" w:rsidTr="00151A54">
        <w:trPr>
          <w:trHeight w:val="20"/>
        </w:trPr>
        <w:tc>
          <w:tcPr>
            <w:tcW w:w="1668" w:type="dxa"/>
          </w:tcPr>
          <w:p w14:paraId="417D7635" w14:textId="77777777" w:rsidR="0048430C" w:rsidRPr="00151A54" w:rsidRDefault="0048430C" w:rsidP="00151A54">
            <w:pPr>
              <w:ind w:firstLine="709"/>
              <w:rPr>
                <w:sz w:val="24"/>
                <w:szCs w:val="24"/>
              </w:rPr>
            </w:pPr>
          </w:p>
        </w:tc>
        <w:tc>
          <w:tcPr>
            <w:tcW w:w="772" w:type="dxa"/>
          </w:tcPr>
          <w:p w14:paraId="052CB9BB" w14:textId="77777777" w:rsidR="0048430C" w:rsidRPr="00151A54" w:rsidRDefault="0048430C" w:rsidP="00151A54">
            <w:pPr>
              <w:ind w:firstLine="709"/>
              <w:rPr>
                <w:sz w:val="24"/>
                <w:szCs w:val="24"/>
                <w:lang w:val="en-US"/>
              </w:rPr>
            </w:pPr>
            <w:proofErr w:type="spellStart"/>
            <w:r w:rsidRPr="00151A54">
              <w:rPr>
                <w:sz w:val="24"/>
                <w:szCs w:val="24"/>
                <w:lang w:val="en-US"/>
              </w:rPr>
              <w:t>MMe</w:t>
            </w:r>
            <w:proofErr w:type="spellEnd"/>
          </w:p>
        </w:tc>
        <w:tc>
          <w:tcPr>
            <w:tcW w:w="1650" w:type="dxa"/>
          </w:tcPr>
          <w:p w14:paraId="1FDDF2AF" w14:textId="77777777" w:rsidR="0048430C" w:rsidRPr="00151A54" w:rsidRDefault="0048430C" w:rsidP="00151A54">
            <w:pPr>
              <w:rPr>
                <w:sz w:val="24"/>
                <w:szCs w:val="24"/>
              </w:rPr>
            </w:pPr>
            <w:r w:rsidRPr="00151A54">
              <w:rPr>
                <w:sz w:val="24"/>
                <w:szCs w:val="24"/>
              </w:rPr>
              <w:t>Total</w:t>
            </w:r>
          </w:p>
        </w:tc>
        <w:tc>
          <w:tcPr>
            <w:tcW w:w="752" w:type="dxa"/>
          </w:tcPr>
          <w:p w14:paraId="20B3DC72" w14:textId="77777777" w:rsidR="0048430C" w:rsidRPr="00151A54" w:rsidRDefault="00151A54" w:rsidP="00151A54">
            <w:pPr>
              <w:rPr>
                <w:sz w:val="24"/>
                <w:szCs w:val="24"/>
                <w:lang w:val="en-US"/>
              </w:rPr>
            </w:pPr>
            <w:r w:rsidRPr="00151A54">
              <w:rPr>
                <w:sz w:val="24"/>
                <w:szCs w:val="24"/>
                <w:lang w:val="en-US"/>
              </w:rPr>
              <w:t>IQR Score</w:t>
            </w:r>
          </w:p>
        </w:tc>
        <w:tc>
          <w:tcPr>
            <w:tcW w:w="697" w:type="dxa"/>
          </w:tcPr>
          <w:p w14:paraId="2F1CD616" w14:textId="77777777" w:rsidR="0048430C" w:rsidRPr="00151A54" w:rsidRDefault="00151A54" w:rsidP="00151A54">
            <w:pPr>
              <w:ind w:firstLine="709"/>
              <w:rPr>
                <w:sz w:val="24"/>
                <w:szCs w:val="24"/>
                <w:lang w:val="en-US"/>
              </w:rPr>
            </w:pPr>
            <w:proofErr w:type="spellStart"/>
            <w:r w:rsidRPr="00151A54">
              <w:rPr>
                <w:sz w:val="24"/>
                <w:szCs w:val="24"/>
                <w:lang w:val="en-US"/>
              </w:rPr>
              <w:t>MMe</w:t>
            </w:r>
            <w:proofErr w:type="spellEnd"/>
          </w:p>
        </w:tc>
        <w:tc>
          <w:tcPr>
            <w:tcW w:w="1515" w:type="dxa"/>
          </w:tcPr>
          <w:p w14:paraId="004DC736" w14:textId="77777777" w:rsidR="0048430C" w:rsidRPr="00151A54" w:rsidRDefault="0048430C" w:rsidP="00151A54">
            <w:pPr>
              <w:rPr>
                <w:sz w:val="24"/>
                <w:szCs w:val="24"/>
              </w:rPr>
            </w:pPr>
            <w:r w:rsidRPr="00151A54">
              <w:rPr>
                <w:sz w:val="24"/>
                <w:szCs w:val="24"/>
              </w:rPr>
              <w:t>Total</w:t>
            </w:r>
          </w:p>
        </w:tc>
        <w:tc>
          <w:tcPr>
            <w:tcW w:w="941" w:type="dxa"/>
          </w:tcPr>
          <w:p w14:paraId="42E02574" w14:textId="77777777" w:rsidR="0048430C" w:rsidRPr="00151A54" w:rsidRDefault="0048430C" w:rsidP="00151A54">
            <w:pPr>
              <w:rPr>
                <w:sz w:val="24"/>
                <w:szCs w:val="24"/>
                <w:lang w:val="en-US"/>
              </w:rPr>
            </w:pPr>
            <w:r w:rsidRPr="00151A54">
              <w:rPr>
                <w:sz w:val="24"/>
                <w:szCs w:val="24"/>
                <w:lang w:val="en-US"/>
              </w:rPr>
              <w:t>IQR Score</w:t>
            </w:r>
          </w:p>
        </w:tc>
        <w:tc>
          <w:tcPr>
            <w:tcW w:w="1894" w:type="dxa"/>
          </w:tcPr>
          <w:p w14:paraId="2C09ADE2" w14:textId="77777777" w:rsidR="0048430C" w:rsidRPr="00151A54" w:rsidRDefault="0048430C" w:rsidP="00151A54">
            <w:pPr>
              <w:ind w:firstLine="709"/>
              <w:rPr>
                <w:sz w:val="24"/>
                <w:szCs w:val="24"/>
                <w:lang w:val="en-US"/>
              </w:rPr>
            </w:pPr>
          </w:p>
        </w:tc>
      </w:tr>
      <w:tr w:rsidR="0048430C" w:rsidRPr="00151A54" w14:paraId="417D490C" w14:textId="77777777" w:rsidTr="00151A54">
        <w:trPr>
          <w:trHeight w:val="20"/>
        </w:trPr>
        <w:tc>
          <w:tcPr>
            <w:tcW w:w="1668" w:type="dxa"/>
          </w:tcPr>
          <w:p w14:paraId="31DC8ACE" w14:textId="77777777" w:rsidR="0048430C" w:rsidRPr="00151A54" w:rsidRDefault="0048430C" w:rsidP="00151A54">
            <w:pPr>
              <w:ind w:firstLine="709"/>
              <w:rPr>
                <w:sz w:val="24"/>
                <w:szCs w:val="24"/>
              </w:rPr>
            </w:pPr>
            <w:r w:rsidRPr="00151A54">
              <w:rPr>
                <w:sz w:val="24"/>
                <w:szCs w:val="24"/>
              </w:rPr>
              <w:t>14</w:t>
            </w:r>
          </w:p>
        </w:tc>
        <w:tc>
          <w:tcPr>
            <w:tcW w:w="772" w:type="dxa"/>
          </w:tcPr>
          <w:p w14:paraId="74C5E1F1" w14:textId="77777777" w:rsidR="0048430C" w:rsidRPr="00151A54" w:rsidRDefault="00151A54" w:rsidP="00151A54">
            <w:pPr>
              <w:rPr>
                <w:sz w:val="24"/>
                <w:szCs w:val="24"/>
              </w:rPr>
            </w:pPr>
            <w:r w:rsidRPr="00151A54">
              <w:rPr>
                <w:sz w:val="24"/>
                <w:szCs w:val="24"/>
              </w:rPr>
              <w:t>1,0</w:t>
            </w:r>
          </w:p>
        </w:tc>
        <w:tc>
          <w:tcPr>
            <w:tcW w:w="1650" w:type="dxa"/>
          </w:tcPr>
          <w:p w14:paraId="6679C3F9" w14:textId="77777777" w:rsidR="0048430C" w:rsidRPr="00151A54" w:rsidRDefault="0048430C" w:rsidP="00151A54">
            <w:pPr>
              <w:ind w:firstLine="709"/>
              <w:rPr>
                <w:sz w:val="24"/>
                <w:szCs w:val="24"/>
              </w:rPr>
            </w:pPr>
            <w:r w:rsidRPr="00151A54">
              <w:rPr>
                <w:sz w:val="24"/>
                <w:szCs w:val="24"/>
              </w:rPr>
              <w:t>24</w:t>
            </w:r>
          </w:p>
        </w:tc>
        <w:tc>
          <w:tcPr>
            <w:tcW w:w="752" w:type="dxa"/>
          </w:tcPr>
          <w:p w14:paraId="6860172C" w14:textId="77777777" w:rsidR="0048430C" w:rsidRPr="00151A54" w:rsidRDefault="00151A54" w:rsidP="00151A54">
            <w:pPr>
              <w:rPr>
                <w:sz w:val="24"/>
                <w:szCs w:val="24"/>
                <w:lang w:val="en-US"/>
              </w:rPr>
            </w:pPr>
            <w:r w:rsidRPr="00151A54">
              <w:rPr>
                <w:sz w:val="24"/>
                <w:szCs w:val="24"/>
              </w:rPr>
              <w:t>1,25</w:t>
            </w:r>
          </w:p>
        </w:tc>
        <w:tc>
          <w:tcPr>
            <w:tcW w:w="697" w:type="dxa"/>
          </w:tcPr>
          <w:p w14:paraId="4965EC85" w14:textId="77777777" w:rsidR="0048430C" w:rsidRPr="00151A54" w:rsidRDefault="00151A54" w:rsidP="00151A54">
            <w:pPr>
              <w:rPr>
                <w:sz w:val="24"/>
                <w:szCs w:val="24"/>
                <w:lang w:val="en-US"/>
              </w:rPr>
            </w:pPr>
            <w:r w:rsidRPr="00151A54">
              <w:rPr>
                <w:sz w:val="24"/>
                <w:szCs w:val="24"/>
              </w:rPr>
              <w:t>1,5</w:t>
            </w:r>
          </w:p>
        </w:tc>
        <w:tc>
          <w:tcPr>
            <w:tcW w:w="1515" w:type="dxa"/>
          </w:tcPr>
          <w:p w14:paraId="662F759E" w14:textId="77777777" w:rsidR="0048430C" w:rsidRPr="00151A54" w:rsidRDefault="0048430C" w:rsidP="00151A54">
            <w:pPr>
              <w:ind w:firstLine="709"/>
              <w:rPr>
                <w:sz w:val="24"/>
                <w:szCs w:val="24"/>
              </w:rPr>
            </w:pPr>
            <w:r w:rsidRPr="00151A54">
              <w:rPr>
                <w:sz w:val="24"/>
                <w:szCs w:val="24"/>
              </w:rPr>
              <w:t>33</w:t>
            </w:r>
          </w:p>
        </w:tc>
        <w:tc>
          <w:tcPr>
            <w:tcW w:w="941" w:type="dxa"/>
          </w:tcPr>
          <w:p w14:paraId="45C01D4B" w14:textId="77777777" w:rsidR="0048430C" w:rsidRPr="00151A54" w:rsidRDefault="0048430C" w:rsidP="00151A54">
            <w:pPr>
              <w:rPr>
                <w:sz w:val="24"/>
                <w:szCs w:val="24"/>
                <w:lang w:val="en-US"/>
              </w:rPr>
            </w:pPr>
            <w:r w:rsidRPr="00151A54">
              <w:rPr>
                <w:sz w:val="24"/>
                <w:szCs w:val="24"/>
                <w:lang w:val="en-US"/>
              </w:rPr>
              <w:t>1,0</w:t>
            </w:r>
          </w:p>
        </w:tc>
        <w:tc>
          <w:tcPr>
            <w:tcW w:w="1894" w:type="dxa"/>
          </w:tcPr>
          <w:p w14:paraId="7630997D" w14:textId="77777777" w:rsidR="0048430C" w:rsidRPr="00151A54" w:rsidRDefault="0048430C" w:rsidP="00151A54">
            <w:pPr>
              <w:rPr>
                <w:sz w:val="24"/>
                <w:szCs w:val="24"/>
              </w:rPr>
            </w:pPr>
            <w:r w:rsidRPr="00151A54">
              <w:rPr>
                <w:sz w:val="24"/>
                <w:szCs w:val="24"/>
              </w:rPr>
              <w:t>0,0539</w:t>
            </w:r>
          </w:p>
        </w:tc>
      </w:tr>
      <w:tr w:rsidR="0048430C" w:rsidRPr="00151A54" w14:paraId="3B3CCC22" w14:textId="77777777" w:rsidTr="00151A54">
        <w:trPr>
          <w:trHeight w:val="20"/>
        </w:trPr>
        <w:tc>
          <w:tcPr>
            <w:tcW w:w="1668" w:type="dxa"/>
          </w:tcPr>
          <w:p w14:paraId="7E6815EA" w14:textId="77777777" w:rsidR="0048430C" w:rsidRPr="00151A54" w:rsidRDefault="0048430C" w:rsidP="00151A54">
            <w:pPr>
              <w:ind w:firstLine="709"/>
              <w:rPr>
                <w:sz w:val="24"/>
                <w:szCs w:val="24"/>
              </w:rPr>
            </w:pPr>
            <w:r w:rsidRPr="00151A54">
              <w:rPr>
                <w:sz w:val="24"/>
                <w:szCs w:val="24"/>
              </w:rPr>
              <w:lastRenderedPageBreak/>
              <w:t>28</w:t>
            </w:r>
          </w:p>
        </w:tc>
        <w:tc>
          <w:tcPr>
            <w:tcW w:w="772" w:type="dxa"/>
          </w:tcPr>
          <w:p w14:paraId="7A1DB9ED" w14:textId="77777777" w:rsidR="0048430C" w:rsidRPr="00151A54" w:rsidRDefault="00151A54" w:rsidP="00151A54">
            <w:pPr>
              <w:rPr>
                <w:sz w:val="24"/>
                <w:szCs w:val="24"/>
              </w:rPr>
            </w:pPr>
            <w:r w:rsidRPr="00151A54">
              <w:rPr>
                <w:sz w:val="24"/>
                <w:szCs w:val="24"/>
                <w:lang w:val="en-US"/>
              </w:rPr>
              <w:t>1,0</w:t>
            </w:r>
          </w:p>
        </w:tc>
        <w:tc>
          <w:tcPr>
            <w:tcW w:w="1650" w:type="dxa"/>
          </w:tcPr>
          <w:p w14:paraId="6172A61E" w14:textId="77777777" w:rsidR="0048430C" w:rsidRPr="00151A54" w:rsidRDefault="0048430C" w:rsidP="00151A54">
            <w:pPr>
              <w:ind w:firstLine="709"/>
              <w:rPr>
                <w:sz w:val="24"/>
                <w:szCs w:val="24"/>
              </w:rPr>
            </w:pPr>
            <w:r w:rsidRPr="00151A54">
              <w:rPr>
                <w:sz w:val="24"/>
                <w:szCs w:val="24"/>
              </w:rPr>
              <w:t>12</w:t>
            </w:r>
          </w:p>
        </w:tc>
        <w:tc>
          <w:tcPr>
            <w:tcW w:w="752" w:type="dxa"/>
          </w:tcPr>
          <w:p w14:paraId="065BB1D5" w14:textId="77777777" w:rsidR="0048430C" w:rsidRPr="00151A54" w:rsidRDefault="00151A54" w:rsidP="00151A54">
            <w:pPr>
              <w:rPr>
                <w:sz w:val="24"/>
                <w:szCs w:val="24"/>
              </w:rPr>
            </w:pPr>
            <w:r w:rsidRPr="00151A54">
              <w:rPr>
                <w:sz w:val="24"/>
                <w:szCs w:val="24"/>
              </w:rPr>
              <w:t>1,0</w:t>
            </w:r>
          </w:p>
        </w:tc>
        <w:tc>
          <w:tcPr>
            <w:tcW w:w="697" w:type="dxa"/>
          </w:tcPr>
          <w:p w14:paraId="06C1DF32" w14:textId="77777777" w:rsidR="0048430C" w:rsidRPr="00151A54" w:rsidRDefault="00151A54" w:rsidP="00151A54">
            <w:pPr>
              <w:rPr>
                <w:sz w:val="24"/>
                <w:szCs w:val="24"/>
              </w:rPr>
            </w:pPr>
            <w:r w:rsidRPr="00151A54">
              <w:rPr>
                <w:sz w:val="24"/>
                <w:szCs w:val="24"/>
              </w:rPr>
              <w:t>1,0</w:t>
            </w:r>
          </w:p>
        </w:tc>
        <w:tc>
          <w:tcPr>
            <w:tcW w:w="1515" w:type="dxa"/>
          </w:tcPr>
          <w:p w14:paraId="569C3816" w14:textId="77777777" w:rsidR="0048430C" w:rsidRPr="00151A54" w:rsidRDefault="0048430C" w:rsidP="00151A54">
            <w:pPr>
              <w:ind w:firstLine="709"/>
              <w:rPr>
                <w:sz w:val="24"/>
                <w:szCs w:val="24"/>
              </w:rPr>
            </w:pPr>
            <w:r w:rsidRPr="00151A54">
              <w:rPr>
                <w:sz w:val="24"/>
                <w:szCs w:val="24"/>
              </w:rPr>
              <w:t>22</w:t>
            </w:r>
          </w:p>
        </w:tc>
        <w:tc>
          <w:tcPr>
            <w:tcW w:w="941" w:type="dxa"/>
          </w:tcPr>
          <w:p w14:paraId="4220834D" w14:textId="77777777" w:rsidR="0048430C" w:rsidRPr="00151A54" w:rsidRDefault="0048430C" w:rsidP="00151A54">
            <w:pPr>
              <w:rPr>
                <w:sz w:val="24"/>
                <w:szCs w:val="24"/>
              </w:rPr>
            </w:pPr>
            <w:r w:rsidRPr="00151A54">
              <w:rPr>
                <w:sz w:val="24"/>
                <w:szCs w:val="24"/>
              </w:rPr>
              <w:t>1,25</w:t>
            </w:r>
          </w:p>
        </w:tc>
        <w:tc>
          <w:tcPr>
            <w:tcW w:w="1894" w:type="dxa"/>
          </w:tcPr>
          <w:p w14:paraId="7459FC9B" w14:textId="77777777" w:rsidR="0048430C" w:rsidRPr="00151A54" w:rsidRDefault="0048430C" w:rsidP="00151A54">
            <w:pPr>
              <w:rPr>
                <w:bCs/>
                <w:sz w:val="24"/>
                <w:szCs w:val="24"/>
              </w:rPr>
            </w:pPr>
            <w:r w:rsidRPr="00151A54">
              <w:rPr>
                <w:bCs/>
                <w:sz w:val="24"/>
                <w:szCs w:val="24"/>
              </w:rPr>
              <w:t>0,0396</w:t>
            </w:r>
          </w:p>
        </w:tc>
      </w:tr>
      <w:tr w:rsidR="0048430C" w:rsidRPr="00151A54" w14:paraId="77AB9DC2" w14:textId="77777777" w:rsidTr="00151A54">
        <w:trPr>
          <w:trHeight w:val="20"/>
        </w:trPr>
        <w:tc>
          <w:tcPr>
            <w:tcW w:w="1668" w:type="dxa"/>
          </w:tcPr>
          <w:p w14:paraId="266FF7B7" w14:textId="77777777" w:rsidR="0048430C" w:rsidRPr="00151A54" w:rsidRDefault="0048430C" w:rsidP="00151A54">
            <w:pPr>
              <w:ind w:firstLine="709"/>
              <w:rPr>
                <w:sz w:val="24"/>
                <w:szCs w:val="24"/>
              </w:rPr>
            </w:pPr>
            <w:r w:rsidRPr="00151A54">
              <w:rPr>
                <w:sz w:val="24"/>
                <w:szCs w:val="24"/>
              </w:rPr>
              <w:t>42</w:t>
            </w:r>
          </w:p>
        </w:tc>
        <w:tc>
          <w:tcPr>
            <w:tcW w:w="772" w:type="dxa"/>
          </w:tcPr>
          <w:p w14:paraId="307EE646" w14:textId="77777777" w:rsidR="0048430C" w:rsidRPr="00151A54" w:rsidRDefault="00151A54" w:rsidP="00151A54">
            <w:pPr>
              <w:rPr>
                <w:sz w:val="24"/>
                <w:szCs w:val="24"/>
              </w:rPr>
            </w:pPr>
            <w:r w:rsidRPr="00151A54">
              <w:rPr>
                <w:sz w:val="24"/>
                <w:szCs w:val="24"/>
              </w:rPr>
              <w:t>0,0</w:t>
            </w:r>
          </w:p>
        </w:tc>
        <w:tc>
          <w:tcPr>
            <w:tcW w:w="1650" w:type="dxa"/>
          </w:tcPr>
          <w:p w14:paraId="0F54C727" w14:textId="77777777" w:rsidR="0048430C" w:rsidRPr="00151A54" w:rsidRDefault="0048430C" w:rsidP="00151A54">
            <w:pPr>
              <w:ind w:firstLine="709"/>
              <w:rPr>
                <w:sz w:val="24"/>
                <w:szCs w:val="24"/>
              </w:rPr>
            </w:pPr>
            <w:r w:rsidRPr="00151A54">
              <w:rPr>
                <w:sz w:val="24"/>
                <w:szCs w:val="24"/>
              </w:rPr>
              <w:t>6</w:t>
            </w:r>
          </w:p>
        </w:tc>
        <w:tc>
          <w:tcPr>
            <w:tcW w:w="752" w:type="dxa"/>
          </w:tcPr>
          <w:p w14:paraId="4268CDBA" w14:textId="77777777" w:rsidR="0048430C" w:rsidRPr="00151A54" w:rsidRDefault="00151A54" w:rsidP="00151A54">
            <w:pPr>
              <w:rPr>
                <w:sz w:val="24"/>
                <w:szCs w:val="24"/>
              </w:rPr>
            </w:pPr>
            <w:r w:rsidRPr="00151A54">
              <w:rPr>
                <w:sz w:val="24"/>
                <w:szCs w:val="24"/>
              </w:rPr>
              <w:t>1,0</w:t>
            </w:r>
          </w:p>
        </w:tc>
        <w:tc>
          <w:tcPr>
            <w:tcW w:w="697" w:type="dxa"/>
          </w:tcPr>
          <w:p w14:paraId="49A93901" w14:textId="77777777" w:rsidR="0048430C" w:rsidRPr="00151A54" w:rsidRDefault="00151A54" w:rsidP="00151A54">
            <w:pPr>
              <w:rPr>
                <w:sz w:val="24"/>
                <w:szCs w:val="24"/>
              </w:rPr>
            </w:pPr>
            <w:r w:rsidRPr="00151A54">
              <w:rPr>
                <w:sz w:val="24"/>
                <w:szCs w:val="24"/>
              </w:rPr>
              <w:t>1,0</w:t>
            </w:r>
          </w:p>
        </w:tc>
        <w:tc>
          <w:tcPr>
            <w:tcW w:w="1515" w:type="dxa"/>
          </w:tcPr>
          <w:p w14:paraId="7BFCAC6F" w14:textId="77777777" w:rsidR="0048430C" w:rsidRPr="00151A54" w:rsidRDefault="0048430C" w:rsidP="00151A54">
            <w:pPr>
              <w:ind w:firstLine="709"/>
              <w:rPr>
                <w:sz w:val="24"/>
                <w:szCs w:val="24"/>
              </w:rPr>
            </w:pPr>
            <w:r w:rsidRPr="00151A54">
              <w:rPr>
                <w:sz w:val="24"/>
                <w:szCs w:val="24"/>
              </w:rPr>
              <w:t>14</w:t>
            </w:r>
          </w:p>
        </w:tc>
        <w:tc>
          <w:tcPr>
            <w:tcW w:w="941" w:type="dxa"/>
          </w:tcPr>
          <w:p w14:paraId="27700CB2" w14:textId="77777777" w:rsidR="0048430C" w:rsidRPr="00151A54" w:rsidRDefault="0048430C" w:rsidP="00151A54">
            <w:pPr>
              <w:rPr>
                <w:sz w:val="24"/>
                <w:szCs w:val="24"/>
              </w:rPr>
            </w:pPr>
            <w:r w:rsidRPr="00151A54">
              <w:rPr>
                <w:sz w:val="24"/>
                <w:szCs w:val="24"/>
              </w:rPr>
              <w:t>1,0</w:t>
            </w:r>
          </w:p>
        </w:tc>
        <w:tc>
          <w:tcPr>
            <w:tcW w:w="1894" w:type="dxa"/>
          </w:tcPr>
          <w:p w14:paraId="10A3D193" w14:textId="77777777" w:rsidR="0048430C" w:rsidRPr="00151A54" w:rsidRDefault="0048430C" w:rsidP="00151A54">
            <w:pPr>
              <w:rPr>
                <w:sz w:val="24"/>
                <w:szCs w:val="24"/>
              </w:rPr>
            </w:pPr>
            <w:r w:rsidRPr="00151A54">
              <w:rPr>
                <w:sz w:val="24"/>
                <w:szCs w:val="24"/>
              </w:rPr>
              <w:t>0,0709 The</w:t>
            </w:r>
          </w:p>
        </w:tc>
      </w:tr>
      <w:tr w:rsidR="0048430C" w:rsidRPr="00151A54" w14:paraId="09F35BE4" w14:textId="77777777" w:rsidTr="00151A54">
        <w:trPr>
          <w:trHeight w:val="20"/>
        </w:trPr>
        <w:tc>
          <w:tcPr>
            <w:tcW w:w="1668" w:type="dxa"/>
          </w:tcPr>
          <w:p w14:paraId="0DD025DF" w14:textId="77777777" w:rsidR="0048430C" w:rsidRPr="00A40587" w:rsidRDefault="0048430C" w:rsidP="00151A54">
            <w:pPr>
              <w:rPr>
                <w:sz w:val="24"/>
                <w:szCs w:val="24"/>
                <w:lang w:val="en-US"/>
              </w:rPr>
            </w:pPr>
            <w:r w:rsidRPr="00A40587">
              <w:rPr>
                <w:sz w:val="24"/>
                <w:szCs w:val="24"/>
                <w:lang w:val="en-US"/>
              </w:rPr>
              <w:t>entire follow-up period</w:t>
            </w:r>
          </w:p>
          <w:p w14:paraId="0549A260" w14:textId="77777777" w:rsidR="0048430C" w:rsidRPr="00A40587" w:rsidRDefault="0048430C" w:rsidP="00151A54">
            <w:pPr>
              <w:rPr>
                <w:sz w:val="24"/>
                <w:szCs w:val="24"/>
                <w:lang w:val="en-US"/>
              </w:rPr>
            </w:pPr>
            <w:r w:rsidRPr="00A40587">
              <w:rPr>
                <w:sz w:val="24"/>
                <w:szCs w:val="24"/>
                <w:lang w:val="en-US"/>
              </w:rPr>
              <w:t>(14-42) days</w:t>
            </w:r>
          </w:p>
        </w:tc>
        <w:tc>
          <w:tcPr>
            <w:tcW w:w="772" w:type="dxa"/>
          </w:tcPr>
          <w:p w14:paraId="74E6DF7D" w14:textId="77777777" w:rsidR="0048430C" w:rsidRPr="00151A54" w:rsidRDefault="00151A54" w:rsidP="00151A54">
            <w:pPr>
              <w:rPr>
                <w:sz w:val="24"/>
                <w:szCs w:val="24"/>
              </w:rPr>
            </w:pPr>
            <w:r w:rsidRPr="00151A54">
              <w:rPr>
                <w:sz w:val="24"/>
                <w:szCs w:val="24"/>
                <w:lang w:val="en-US"/>
              </w:rPr>
              <w:t>0.0</w:t>
            </w:r>
          </w:p>
        </w:tc>
        <w:tc>
          <w:tcPr>
            <w:tcW w:w="1650" w:type="dxa"/>
          </w:tcPr>
          <w:p w14:paraId="5818BB77" w14:textId="77777777" w:rsidR="0048430C" w:rsidRPr="00151A54" w:rsidRDefault="0048430C" w:rsidP="00151A54">
            <w:pPr>
              <w:ind w:firstLine="709"/>
              <w:rPr>
                <w:sz w:val="24"/>
                <w:szCs w:val="24"/>
              </w:rPr>
            </w:pPr>
            <w:r w:rsidRPr="00151A54">
              <w:rPr>
                <w:sz w:val="24"/>
                <w:szCs w:val="24"/>
              </w:rPr>
              <w:t>42</w:t>
            </w:r>
          </w:p>
        </w:tc>
        <w:tc>
          <w:tcPr>
            <w:tcW w:w="752" w:type="dxa"/>
          </w:tcPr>
          <w:p w14:paraId="47DCA437" w14:textId="77777777" w:rsidR="0048430C" w:rsidRPr="00151A54" w:rsidRDefault="00151A54" w:rsidP="00151A54">
            <w:pPr>
              <w:rPr>
                <w:sz w:val="24"/>
                <w:szCs w:val="24"/>
              </w:rPr>
            </w:pPr>
            <w:r w:rsidRPr="00151A54">
              <w:rPr>
                <w:sz w:val="24"/>
                <w:szCs w:val="24"/>
              </w:rPr>
              <w:t>1.0</w:t>
            </w:r>
          </w:p>
        </w:tc>
        <w:tc>
          <w:tcPr>
            <w:tcW w:w="697" w:type="dxa"/>
          </w:tcPr>
          <w:p w14:paraId="76949F9A" w14:textId="77777777" w:rsidR="0048430C" w:rsidRPr="00151A54" w:rsidRDefault="00151A54" w:rsidP="00151A54">
            <w:pPr>
              <w:rPr>
                <w:sz w:val="24"/>
                <w:szCs w:val="24"/>
              </w:rPr>
            </w:pPr>
            <w:r w:rsidRPr="00151A54">
              <w:rPr>
                <w:sz w:val="24"/>
                <w:szCs w:val="24"/>
                <w:lang w:val="en-US"/>
              </w:rPr>
              <w:t>1.0</w:t>
            </w:r>
          </w:p>
        </w:tc>
        <w:tc>
          <w:tcPr>
            <w:tcW w:w="1515" w:type="dxa"/>
          </w:tcPr>
          <w:p w14:paraId="3EBBDE0B" w14:textId="77777777" w:rsidR="0048430C" w:rsidRPr="00151A54" w:rsidRDefault="0048430C" w:rsidP="00151A54">
            <w:pPr>
              <w:ind w:firstLine="709"/>
              <w:rPr>
                <w:sz w:val="24"/>
                <w:szCs w:val="24"/>
              </w:rPr>
            </w:pPr>
            <w:r w:rsidRPr="00151A54">
              <w:rPr>
                <w:sz w:val="24"/>
                <w:szCs w:val="24"/>
              </w:rPr>
              <w:t>69</w:t>
            </w:r>
          </w:p>
        </w:tc>
        <w:tc>
          <w:tcPr>
            <w:tcW w:w="941" w:type="dxa"/>
          </w:tcPr>
          <w:p w14:paraId="484212A7" w14:textId="77777777" w:rsidR="0048430C" w:rsidRPr="00151A54" w:rsidRDefault="0048430C" w:rsidP="00151A54">
            <w:pPr>
              <w:rPr>
                <w:bCs/>
                <w:sz w:val="24"/>
                <w:szCs w:val="24"/>
              </w:rPr>
            </w:pPr>
            <w:r w:rsidRPr="00151A54">
              <w:rPr>
                <w:sz w:val="24"/>
                <w:szCs w:val="24"/>
              </w:rPr>
              <w:t>1.0</w:t>
            </w:r>
          </w:p>
        </w:tc>
        <w:tc>
          <w:tcPr>
            <w:tcW w:w="1894" w:type="dxa"/>
          </w:tcPr>
          <w:p w14:paraId="29D27586" w14:textId="77777777" w:rsidR="0048430C" w:rsidRPr="00151A54" w:rsidRDefault="0048430C" w:rsidP="00151A54">
            <w:pPr>
              <w:rPr>
                <w:bCs/>
                <w:sz w:val="24"/>
                <w:szCs w:val="24"/>
              </w:rPr>
            </w:pPr>
            <w:r w:rsidRPr="00151A54">
              <w:rPr>
                <w:bCs/>
                <w:sz w:val="24"/>
                <w:szCs w:val="24"/>
              </w:rPr>
              <w:t>0.0027</w:t>
            </w:r>
          </w:p>
        </w:tc>
      </w:tr>
    </w:tbl>
    <w:p w14:paraId="5818F4DF" w14:textId="77777777" w:rsidR="0048430C" w:rsidRPr="00151A54" w:rsidRDefault="0048430C" w:rsidP="00151A54">
      <w:pPr>
        <w:jc w:val="both"/>
        <w:rPr>
          <w:sz w:val="28"/>
          <w:szCs w:val="28"/>
          <w:lang w:val="en-US"/>
        </w:rPr>
      </w:pPr>
    </w:p>
    <w:p w14:paraId="33DC3806" w14:textId="6AAB09DA" w:rsidR="00382839" w:rsidRPr="00382839" w:rsidRDefault="00382839" w:rsidP="00382839">
      <w:pPr>
        <w:ind w:firstLine="709"/>
        <w:jc w:val="both"/>
        <w:rPr>
          <w:sz w:val="28"/>
          <w:szCs w:val="28"/>
          <w:lang w:val="en-US"/>
        </w:rPr>
      </w:pPr>
      <w:r w:rsidRPr="00382839">
        <w:rPr>
          <w:sz w:val="28"/>
          <w:szCs w:val="28"/>
          <w:lang w:val="en-US"/>
        </w:rPr>
        <w:t xml:space="preserve">It was found that throughout the entire follow-up period, the total radiographic score was higher in the </w:t>
      </w:r>
      <w:proofErr w:type="spellStart"/>
      <w:r w:rsidRPr="00382839">
        <w:rPr>
          <w:sz w:val="28"/>
          <w:szCs w:val="28"/>
          <w:lang w:val="en-US"/>
        </w:rPr>
        <w:t>PerOssal</w:t>
      </w:r>
      <w:proofErr w:type="spellEnd"/>
      <w:r w:rsidRPr="00382839">
        <w:rPr>
          <w:sz w:val="28"/>
          <w:szCs w:val="28"/>
          <w:lang w:val="en-US"/>
        </w:rPr>
        <w:t>® group than in the bone allograft group. On day 14, the total score was 33 vs. 24; on day 28, 22 vs. 12; and on day 42, 14 vs. 6 points, respectively. At the same time, both groups demonstrated a reduction in the severity of pathological changes by day 42; however, regression of radiographic signs was more pronounced in the bone allograft group.</w:t>
      </w:r>
    </w:p>
    <w:p w14:paraId="0DCF54DF" w14:textId="3EA5E54F" w:rsidR="00382839" w:rsidRPr="00382839" w:rsidRDefault="00382839" w:rsidP="00382839">
      <w:pPr>
        <w:ind w:firstLine="709"/>
        <w:jc w:val="both"/>
        <w:rPr>
          <w:sz w:val="28"/>
          <w:szCs w:val="28"/>
          <w:lang w:val="en-US"/>
        </w:rPr>
      </w:pPr>
      <w:r w:rsidRPr="00382839">
        <w:rPr>
          <w:sz w:val="28"/>
          <w:szCs w:val="28"/>
          <w:lang w:val="en-US"/>
        </w:rPr>
        <w:t xml:space="preserve">Pairwise comparisons revealed no statistically significant intergroup differences on days 14 and 42 (p = 0.0539 and p = 0.0709, respectively), whereas on day 28 the differences were statistically significant (p = 0.0396). The overall assessment across the entire follow-up period also demonstrated statistically significant differences between the groups: the cumulative binary score was 69 in the </w:t>
      </w:r>
      <w:proofErr w:type="spellStart"/>
      <w:r w:rsidRPr="00382839">
        <w:rPr>
          <w:sz w:val="28"/>
          <w:szCs w:val="28"/>
          <w:lang w:val="en-US"/>
        </w:rPr>
        <w:t>PerOssal</w:t>
      </w:r>
      <w:proofErr w:type="spellEnd"/>
      <w:r w:rsidRPr="00382839">
        <w:rPr>
          <w:sz w:val="28"/>
          <w:szCs w:val="28"/>
          <w:lang w:val="en-US"/>
        </w:rPr>
        <w:t>® group and 42 in the bone allograft group, corresponding to a 39% reduction in the severity of radiographic signs in the allograft group (p = 0.0027).</w:t>
      </w:r>
    </w:p>
    <w:p w14:paraId="1474729B" w14:textId="65F7B36B" w:rsidR="00267AE7" w:rsidRPr="00A40587" w:rsidRDefault="00382839" w:rsidP="00382839">
      <w:pPr>
        <w:ind w:firstLine="709"/>
        <w:jc w:val="both"/>
        <w:rPr>
          <w:sz w:val="28"/>
          <w:szCs w:val="28"/>
          <w:lang w:val="en-US"/>
        </w:rPr>
      </w:pPr>
      <w:r w:rsidRPr="00382839">
        <w:rPr>
          <w:sz w:val="28"/>
          <w:szCs w:val="28"/>
          <w:lang w:val="en-US"/>
        </w:rPr>
        <w:t xml:space="preserve">Thus, the use of bone allograft was associated with more favorable radiographic dynamics of chronic osteomyelitis compared to </w:t>
      </w:r>
      <w:proofErr w:type="spellStart"/>
      <w:r w:rsidRPr="00382839">
        <w:rPr>
          <w:sz w:val="28"/>
          <w:szCs w:val="28"/>
          <w:lang w:val="en-US"/>
        </w:rPr>
        <w:t>PerOssal</w:t>
      </w:r>
      <w:proofErr w:type="spellEnd"/>
      <w:r w:rsidRPr="00382839">
        <w:rPr>
          <w:sz w:val="28"/>
          <w:szCs w:val="28"/>
          <w:lang w:val="en-US"/>
        </w:rPr>
        <w:t>®, as evidenced by lower severity of pathological changes and a faster decrease in the total radiographic score throughout the follow-up period.</w:t>
      </w:r>
    </w:p>
    <w:p w14:paraId="525D65B8" w14:textId="77777777" w:rsidR="00CA59DB" w:rsidRPr="00A40587" w:rsidRDefault="00267AE7" w:rsidP="00151A54">
      <w:pPr>
        <w:ind w:firstLine="709"/>
        <w:jc w:val="both"/>
        <w:rPr>
          <w:b/>
          <w:bCs/>
          <w:sz w:val="28"/>
          <w:szCs w:val="28"/>
          <w:lang w:val="en-US"/>
        </w:rPr>
      </w:pPr>
      <w:r w:rsidRPr="00A40587">
        <w:rPr>
          <w:b/>
          <w:bCs/>
          <w:sz w:val="28"/>
          <w:szCs w:val="28"/>
          <w:lang w:val="en-US"/>
        </w:rPr>
        <w:t>Resume</w:t>
      </w:r>
    </w:p>
    <w:p w14:paraId="641433A3" w14:textId="77777777" w:rsidR="00CA59DB" w:rsidRPr="00A54905" w:rsidRDefault="00CA59DB" w:rsidP="00151A54">
      <w:pPr>
        <w:ind w:firstLine="709"/>
        <w:jc w:val="both"/>
        <w:rPr>
          <w:sz w:val="28"/>
          <w:szCs w:val="28"/>
          <w:lang w:val="ru-KZ"/>
        </w:rPr>
      </w:pPr>
      <w:r w:rsidRPr="00151A54">
        <w:rPr>
          <w:sz w:val="28"/>
          <w:szCs w:val="28"/>
          <w:lang w:val="ru-KZ"/>
        </w:rPr>
        <w:t>To objectify the results of the experimental study, a comparative evaluation of the effectiveness of two methods of local gentamicin delivery was performed: using PerOssal® granules and a perforated bone allograft impregnated with this antibiotic.</w:t>
      </w:r>
    </w:p>
    <w:p w14:paraId="760DCE5A" w14:textId="7D5ADDDD" w:rsidR="00CA59DB" w:rsidRPr="00A40587" w:rsidRDefault="00195C9B" w:rsidP="00151A54">
      <w:pPr>
        <w:ind w:firstLine="709"/>
        <w:jc w:val="both"/>
        <w:rPr>
          <w:sz w:val="28"/>
          <w:szCs w:val="28"/>
          <w:lang w:val="en-US"/>
        </w:rPr>
      </w:pPr>
      <w:r w:rsidRPr="00A54905">
        <w:rPr>
          <w:sz w:val="28"/>
          <w:szCs w:val="28"/>
          <w:lang w:val="ru-KZ"/>
        </w:rPr>
        <w:t>The results obtained indicate that the perforated bone allograft impregnated with gentamicin provides a more prolonged local preservation of the antibiotic compared to PerOssal®</w:t>
      </w:r>
      <w:r w:rsidR="00382839">
        <w:rPr>
          <w:sz w:val="28"/>
          <w:szCs w:val="28"/>
          <w:lang w:val="en-US"/>
        </w:rPr>
        <w:t xml:space="preserve"> </w:t>
      </w:r>
      <w:r w:rsidRPr="00A54905">
        <w:rPr>
          <w:sz w:val="28"/>
          <w:szCs w:val="28"/>
          <w:lang w:val="ru-KZ"/>
        </w:rPr>
        <w:t>granules. This was accompanied by more favorable X-ray dynamics and less pronounced signs of osteomyelitis during the entire follow-up period. Integral evaluation showed a 39% decrease in the total radiographic score in the allograft group compared to the PerOssal® group (p = 0.0027). Thus, bone allograft demonstrated higher efficacy as a carrier of gentamicin in the treatment of experimental osteomyelitis.</w:t>
      </w:r>
    </w:p>
    <w:p w14:paraId="0AB2403E" w14:textId="6ADB3C2B" w:rsidR="000C2759" w:rsidRPr="00A54905" w:rsidRDefault="003C6A0E" w:rsidP="00601E4F">
      <w:pPr>
        <w:pStyle w:val="1"/>
        <w:spacing w:line="240" w:lineRule="auto"/>
        <w:jc w:val="left"/>
        <w:rPr>
          <w:color w:val="000000" w:themeColor="text1"/>
          <w:spacing w:val="-2"/>
          <w:highlight w:val="yellow"/>
        </w:rPr>
      </w:pPr>
      <w:proofErr w:type="spellStart"/>
      <w:r w:rsidRPr="00A54905">
        <w:rPr>
          <w:color w:val="000000" w:themeColor="text1"/>
          <w:spacing w:val="-2"/>
        </w:rPr>
        <w:t>Conclusions</w:t>
      </w:r>
      <w:proofErr w:type="spellEnd"/>
      <w:r w:rsidRPr="00A54905">
        <w:rPr>
          <w:color w:val="000000" w:themeColor="text1"/>
          <w:spacing w:val="-2"/>
        </w:rPr>
        <w:t>:</w:t>
      </w:r>
    </w:p>
    <w:p w14:paraId="73575393" w14:textId="77777777" w:rsidR="004A26F7" w:rsidRPr="00A40587" w:rsidRDefault="004A26F7" w:rsidP="00151A54">
      <w:pPr>
        <w:pStyle w:val="a4"/>
        <w:widowControl/>
        <w:numPr>
          <w:ilvl w:val="0"/>
          <w:numId w:val="13"/>
        </w:numPr>
        <w:tabs>
          <w:tab w:val="left" w:pos="0"/>
        </w:tabs>
        <w:autoSpaceDE/>
        <w:autoSpaceDN/>
        <w:ind w:left="0" w:firstLine="709"/>
        <w:contextualSpacing/>
        <w:rPr>
          <w:sz w:val="28"/>
          <w:szCs w:val="28"/>
          <w:lang w:val="en-US"/>
        </w:rPr>
      </w:pPr>
      <w:r w:rsidRPr="00A40587">
        <w:rPr>
          <w:sz w:val="28"/>
          <w:szCs w:val="28"/>
          <w:lang w:val="en-US"/>
        </w:rPr>
        <w:t xml:space="preserve">Based on the results of the study, the following conclusions can be drawn: </w:t>
      </w:r>
    </w:p>
    <w:p w14:paraId="782E326C" w14:textId="76B42450" w:rsidR="004A26F7" w:rsidRPr="00540A0F" w:rsidRDefault="004A26F7" w:rsidP="00151A54">
      <w:pPr>
        <w:pStyle w:val="a4"/>
        <w:widowControl/>
        <w:numPr>
          <w:ilvl w:val="0"/>
          <w:numId w:val="13"/>
        </w:numPr>
        <w:tabs>
          <w:tab w:val="left" w:pos="0"/>
        </w:tabs>
        <w:autoSpaceDE/>
        <w:autoSpaceDN/>
        <w:ind w:left="0" w:firstLine="709"/>
        <w:contextualSpacing/>
        <w:rPr>
          <w:sz w:val="28"/>
          <w:szCs w:val="28"/>
          <w:lang w:val="en-US"/>
        </w:rPr>
      </w:pPr>
      <w:r w:rsidRPr="00A40587">
        <w:rPr>
          <w:sz w:val="28"/>
          <w:szCs w:val="28"/>
          <w:lang w:val="en-US"/>
        </w:rPr>
        <w:t>Perforated bone allograft provides 3.4 times (</w:t>
      </w:r>
      <w:r w:rsidR="00540A0F">
        <w:rPr>
          <w:sz w:val="28"/>
          <w:szCs w:val="28"/>
          <w:lang w:val="en-US"/>
        </w:rPr>
        <w:t>17.4</w:t>
      </w:r>
      <w:r w:rsidRPr="00A40587">
        <w:rPr>
          <w:sz w:val="28"/>
          <w:szCs w:val="28"/>
          <w:lang w:val="en-US"/>
        </w:rPr>
        <w:t xml:space="preserve"> ng/ ml vs </w:t>
      </w:r>
      <w:r w:rsidR="00540A0F">
        <w:rPr>
          <w:sz w:val="28"/>
          <w:szCs w:val="28"/>
          <w:lang w:val="en-US"/>
        </w:rPr>
        <w:t>5</w:t>
      </w:r>
      <w:r w:rsidRPr="00A40587">
        <w:rPr>
          <w:sz w:val="28"/>
          <w:szCs w:val="28"/>
          <w:lang w:val="en-US"/>
        </w:rPr>
        <w:t>.</w:t>
      </w:r>
      <w:r w:rsidR="00540A0F">
        <w:rPr>
          <w:sz w:val="28"/>
          <w:szCs w:val="28"/>
          <w:lang w:val="en-US"/>
        </w:rPr>
        <w:t>02</w:t>
      </w:r>
      <w:r w:rsidRPr="00A40587">
        <w:rPr>
          <w:sz w:val="28"/>
          <w:szCs w:val="28"/>
          <w:lang w:val="en-US"/>
        </w:rPr>
        <w:t xml:space="preserve"> ng/ml) higher concentration of the antibiotic in blood plasma by day 7 compared to </w:t>
      </w:r>
      <w:proofErr w:type="spellStart"/>
      <w:r w:rsidRPr="00A40587">
        <w:rPr>
          <w:sz w:val="28"/>
          <w:szCs w:val="28"/>
          <w:lang w:val="en-US"/>
        </w:rPr>
        <w:t>PerOssal</w:t>
      </w:r>
      <w:proofErr w:type="spellEnd"/>
      <w:r w:rsidRPr="00A40587">
        <w:rPr>
          <w:sz w:val="28"/>
          <w:szCs w:val="28"/>
          <w:lang w:val="en-US"/>
        </w:rPr>
        <w:t xml:space="preserve">®. </w:t>
      </w:r>
      <w:r w:rsidRPr="00540A0F">
        <w:rPr>
          <w:sz w:val="28"/>
          <w:szCs w:val="28"/>
          <w:lang w:val="en-US"/>
        </w:rPr>
        <w:t>(p =0.0000) in rabbit osteomyelitis model</w:t>
      </w:r>
    </w:p>
    <w:p w14:paraId="1F515B89" w14:textId="78F0CA37" w:rsidR="004A26F7" w:rsidRPr="00324344" w:rsidRDefault="004A26F7" w:rsidP="00151A54">
      <w:pPr>
        <w:pStyle w:val="a4"/>
        <w:widowControl/>
        <w:numPr>
          <w:ilvl w:val="0"/>
          <w:numId w:val="13"/>
        </w:numPr>
        <w:tabs>
          <w:tab w:val="left" w:pos="0"/>
        </w:tabs>
        <w:autoSpaceDE/>
        <w:autoSpaceDN/>
        <w:ind w:left="0" w:firstLine="709"/>
        <w:contextualSpacing/>
        <w:rPr>
          <w:sz w:val="28"/>
          <w:szCs w:val="28"/>
          <w:lang w:val="en-US"/>
        </w:rPr>
      </w:pPr>
      <w:r w:rsidRPr="00A40587">
        <w:rPr>
          <w:sz w:val="28"/>
          <w:szCs w:val="28"/>
          <w:lang w:val="en-US"/>
        </w:rPr>
        <w:t xml:space="preserve"> Perforated bone allograft provides </w:t>
      </w:r>
      <w:r w:rsidR="00324344">
        <w:rPr>
          <w:sz w:val="28"/>
          <w:szCs w:val="28"/>
          <w:lang w:val="en-US"/>
        </w:rPr>
        <w:t>5</w:t>
      </w:r>
      <w:r w:rsidRPr="00A40587">
        <w:rPr>
          <w:sz w:val="28"/>
          <w:szCs w:val="28"/>
          <w:lang w:val="en-US"/>
        </w:rPr>
        <w:t>.2 times (</w:t>
      </w:r>
      <w:r w:rsidR="00540A0F">
        <w:rPr>
          <w:sz w:val="28"/>
          <w:szCs w:val="28"/>
          <w:lang w:val="en-US"/>
        </w:rPr>
        <w:t>1</w:t>
      </w:r>
      <w:r w:rsidRPr="00A40587">
        <w:rPr>
          <w:sz w:val="28"/>
          <w:szCs w:val="28"/>
          <w:lang w:val="en-US"/>
        </w:rPr>
        <w:t>.</w:t>
      </w:r>
      <w:r w:rsidR="00540A0F">
        <w:rPr>
          <w:sz w:val="28"/>
          <w:szCs w:val="28"/>
          <w:lang w:val="en-US"/>
        </w:rPr>
        <w:t>11</w:t>
      </w:r>
      <w:r w:rsidRPr="00A40587">
        <w:rPr>
          <w:sz w:val="28"/>
          <w:szCs w:val="28"/>
          <w:lang w:val="en-US"/>
        </w:rPr>
        <w:t xml:space="preserve"> ng/ml vs </w:t>
      </w:r>
      <w:r w:rsidR="00540A0F">
        <w:rPr>
          <w:sz w:val="28"/>
          <w:szCs w:val="28"/>
          <w:lang w:val="en-US"/>
        </w:rPr>
        <w:t>0</w:t>
      </w:r>
      <w:r w:rsidRPr="00A40587">
        <w:rPr>
          <w:sz w:val="28"/>
          <w:szCs w:val="28"/>
          <w:lang w:val="en-US"/>
        </w:rPr>
        <w:t>.</w:t>
      </w:r>
      <w:r w:rsidR="00540A0F">
        <w:rPr>
          <w:sz w:val="28"/>
          <w:szCs w:val="28"/>
          <w:lang w:val="en-US"/>
        </w:rPr>
        <w:t>21</w:t>
      </w:r>
      <w:r w:rsidRPr="00A40587">
        <w:rPr>
          <w:sz w:val="28"/>
          <w:szCs w:val="28"/>
          <w:lang w:val="en-US"/>
        </w:rPr>
        <w:t xml:space="preserve"> ng/ml) higher average antibiotic concentration in soft tissues </w:t>
      </w:r>
      <w:r w:rsidR="00540A0F" w:rsidRPr="00A40587">
        <w:rPr>
          <w:sz w:val="28"/>
          <w:szCs w:val="28"/>
          <w:lang w:val="en-US"/>
        </w:rPr>
        <w:t>by day 7 compared</w:t>
      </w:r>
      <w:r w:rsidRPr="00A40587">
        <w:rPr>
          <w:sz w:val="28"/>
          <w:szCs w:val="28"/>
          <w:lang w:val="en-US"/>
        </w:rPr>
        <w:t xml:space="preserve"> to </w:t>
      </w:r>
      <w:proofErr w:type="spellStart"/>
      <w:r w:rsidRPr="00A40587">
        <w:rPr>
          <w:sz w:val="28"/>
          <w:szCs w:val="28"/>
          <w:lang w:val="en-US"/>
        </w:rPr>
        <w:t>PerOssal</w:t>
      </w:r>
      <w:proofErr w:type="spellEnd"/>
      <w:r w:rsidRPr="00A40587">
        <w:rPr>
          <w:sz w:val="28"/>
          <w:szCs w:val="28"/>
          <w:lang w:val="en-US"/>
        </w:rPr>
        <w:t xml:space="preserve">®. </w:t>
      </w:r>
      <w:r w:rsidRPr="00324344">
        <w:rPr>
          <w:sz w:val="28"/>
          <w:szCs w:val="28"/>
          <w:lang w:val="en-US"/>
        </w:rPr>
        <w:t>(p =0.003) in rabbit osteomyelitis model</w:t>
      </w:r>
    </w:p>
    <w:p w14:paraId="0F316BD1" w14:textId="5AB59B46" w:rsidR="00C159FD" w:rsidRDefault="00C159FD" w:rsidP="00C159FD">
      <w:pPr>
        <w:pStyle w:val="a4"/>
        <w:numPr>
          <w:ilvl w:val="0"/>
          <w:numId w:val="13"/>
        </w:numPr>
        <w:ind w:left="0" w:firstLine="709"/>
        <w:rPr>
          <w:sz w:val="28"/>
          <w:szCs w:val="28"/>
          <w:lang w:val="en-US"/>
        </w:rPr>
      </w:pPr>
      <w:r w:rsidRPr="00A40587">
        <w:rPr>
          <w:sz w:val="28"/>
          <w:szCs w:val="28"/>
          <w:lang w:val="en-US"/>
        </w:rPr>
        <w:t xml:space="preserve">According to the results of X-ray examination of experimental animals in the group with bone allograft, signs of osteomyelitis are 39% less pronounced </w:t>
      </w:r>
      <w:r w:rsidRPr="00A40587">
        <w:rPr>
          <w:sz w:val="28"/>
          <w:szCs w:val="28"/>
          <w:lang w:val="en-US"/>
        </w:rPr>
        <w:lastRenderedPageBreak/>
        <w:t xml:space="preserve">compared to </w:t>
      </w:r>
      <w:proofErr w:type="spellStart"/>
      <w:r w:rsidRPr="00A40587">
        <w:rPr>
          <w:sz w:val="28"/>
          <w:szCs w:val="28"/>
          <w:lang w:val="en-US"/>
        </w:rPr>
        <w:t>PerOssal</w:t>
      </w:r>
      <w:proofErr w:type="spellEnd"/>
      <w:r w:rsidRPr="00A40587">
        <w:rPr>
          <w:sz w:val="28"/>
          <w:szCs w:val="28"/>
          <w:lang w:val="en-US"/>
        </w:rPr>
        <w:t>® (total score of the binary scale: 69 points vs 42 points) p=0.0027 in the model of osteomyelitis in rabbits.</w:t>
      </w:r>
    </w:p>
    <w:p w14:paraId="0412AFB7" w14:textId="0759BC3B" w:rsidR="00601E4F" w:rsidRPr="00601E4F" w:rsidRDefault="00601E4F" w:rsidP="00601E4F">
      <w:pPr>
        <w:pStyle w:val="a4"/>
        <w:ind w:left="709" w:firstLine="0"/>
        <w:rPr>
          <w:b/>
          <w:bCs/>
          <w:sz w:val="28"/>
          <w:szCs w:val="28"/>
          <w:lang w:val="en-US"/>
        </w:rPr>
      </w:pPr>
      <w:r w:rsidRPr="004E7F28">
        <w:rPr>
          <w:b/>
          <w:bCs/>
          <w:sz w:val="28"/>
          <w:szCs w:val="28"/>
          <w:lang w:val="en-US"/>
        </w:rPr>
        <w:t>Practical Recommendations</w:t>
      </w:r>
    </w:p>
    <w:p w14:paraId="05C8612B" w14:textId="628D1D9A" w:rsidR="00CE7122" w:rsidRPr="00601E4F" w:rsidRDefault="00601E4F" w:rsidP="00CE7122">
      <w:pPr>
        <w:pStyle w:val="1"/>
        <w:spacing w:line="240" w:lineRule="auto"/>
        <w:ind w:left="0" w:firstLine="709"/>
        <w:rPr>
          <w:b w:val="0"/>
          <w:bCs w:val="0"/>
          <w:lang w:val="ru-KZ"/>
        </w:rPr>
      </w:pPr>
      <w:r w:rsidRPr="00601E4F">
        <w:rPr>
          <w:b w:val="0"/>
          <w:bCs w:val="0"/>
          <w:lang w:val="ru-KZ"/>
        </w:rPr>
        <w:t>The results of this dissertation can be applied in the development of novel approaches to local antibacterial therapy for chronic osteomyelitis using a perforated bone allograft impregnated with an antibiotic. The data obtained support the potential of this material not only as a carrier for antimicrobial agents but also as a scaffold for the restoration of bone defects. The practical significance of this work lies in the possibility of further implementing the developed technology in clinical practice following the completion of the necessary experimental, preclinical, and clinical evaluation stages.</w:t>
      </w:r>
    </w:p>
    <w:p w14:paraId="3791754E" w14:textId="77777777" w:rsidR="00C159FD" w:rsidRPr="00382839" w:rsidRDefault="00C159FD" w:rsidP="00382839">
      <w:pPr>
        <w:jc w:val="both"/>
        <w:outlineLvl w:val="0"/>
        <w:rPr>
          <w:b/>
          <w:sz w:val="28"/>
          <w:szCs w:val="28"/>
          <w:lang w:val="en-US"/>
        </w:rPr>
      </w:pPr>
    </w:p>
    <w:p w14:paraId="1B5139F1" w14:textId="77777777" w:rsidR="001E6380" w:rsidRPr="001E6380" w:rsidRDefault="001E6380" w:rsidP="001E6380">
      <w:pPr>
        <w:pStyle w:val="TableParagraph"/>
        <w:rPr>
          <w:lang w:val="ru-KZ"/>
        </w:rPr>
      </w:pPr>
      <w:r w:rsidRPr="001E6380">
        <w:rPr>
          <w:rStyle w:val="ac"/>
          <w:b w:val="0"/>
          <w:bCs w:val="0"/>
        </w:rPr>
        <w:t>REFERENCES</w:t>
      </w:r>
    </w:p>
    <w:p w14:paraId="1628A01B" w14:textId="77777777" w:rsidR="001E6380" w:rsidRDefault="001E6380" w:rsidP="001E6380">
      <w:pPr>
        <w:widowControl/>
        <w:numPr>
          <w:ilvl w:val="0"/>
          <w:numId w:val="24"/>
        </w:numPr>
        <w:autoSpaceDE/>
        <w:autoSpaceDN/>
        <w:spacing w:before="100" w:beforeAutospacing="1" w:after="100" w:afterAutospacing="1"/>
      </w:pPr>
      <w:proofErr w:type="spellStart"/>
      <w:r w:rsidRPr="001E6380">
        <w:rPr>
          <w:lang w:val="en-US"/>
        </w:rPr>
        <w:t>Tuleubaev</w:t>
      </w:r>
      <w:proofErr w:type="spellEnd"/>
      <w:r w:rsidRPr="001E6380">
        <w:rPr>
          <w:lang w:val="en-US"/>
        </w:rPr>
        <w:t xml:space="preserve"> B.E. Analysis of the frequency of periprosthetic fractures in clinical practice. </w:t>
      </w:r>
      <w:proofErr w:type="spellStart"/>
      <w:r>
        <w:rPr>
          <w:rStyle w:val="ae"/>
        </w:rPr>
        <w:t>Meditsina</w:t>
      </w:r>
      <w:proofErr w:type="spellEnd"/>
      <w:r>
        <w:rPr>
          <w:rStyle w:val="ae"/>
        </w:rPr>
        <w:t xml:space="preserve"> </w:t>
      </w:r>
      <w:proofErr w:type="spellStart"/>
      <w:r>
        <w:rPr>
          <w:rStyle w:val="ae"/>
        </w:rPr>
        <w:t>Kyrgyzstana</w:t>
      </w:r>
      <w:proofErr w:type="spellEnd"/>
      <w:r>
        <w:t xml:space="preserve">. </w:t>
      </w:r>
      <w:proofErr w:type="gramStart"/>
      <w:r>
        <w:t>2013;5:47</w:t>
      </w:r>
      <w:proofErr w:type="gramEnd"/>
      <w:r>
        <w:t>–49. (</w:t>
      </w:r>
      <w:proofErr w:type="spellStart"/>
      <w:r>
        <w:t>in</w:t>
      </w:r>
      <w:proofErr w:type="spellEnd"/>
      <w:r>
        <w:t xml:space="preserve"> Russian) </w:t>
      </w:r>
    </w:p>
    <w:p w14:paraId="2F92DF36" w14:textId="77777777" w:rsidR="001E6380" w:rsidRPr="004E7F28" w:rsidRDefault="001E6380" w:rsidP="001E6380">
      <w:pPr>
        <w:widowControl/>
        <w:numPr>
          <w:ilvl w:val="0"/>
          <w:numId w:val="24"/>
        </w:numPr>
        <w:autoSpaceDE/>
        <w:autoSpaceDN/>
        <w:spacing w:before="100" w:beforeAutospacing="1" w:after="100" w:afterAutospacing="1"/>
        <w:rPr>
          <w:lang w:val="en-US"/>
        </w:rPr>
      </w:pPr>
      <w:r w:rsidRPr="001E6380">
        <w:rPr>
          <w:lang w:val="en-US"/>
        </w:rPr>
        <w:t xml:space="preserve">Yang J, Yao J, Wu Z, et al. Current opinions on the mechanism, classification, imaging diagnosis and treatment of post-traumatic osteomyelitis. </w:t>
      </w:r>
      <w:r w:rsidRPr="004E7F28">
        <w:rPr>
          <w:rStyle w:val="ae"/>
          <w:lang w:val="en-US"/>
        </w:rPr>
        <w:t>Chinese Journal of Traumatology</w:t>
      </w:r>
      <w:r w:rsidRPr="004E7F28">
        <w:rPr>
          <w:lang w:val="en-US"/>
        </w:rPr>
        <w:t xml:space="preserve">. 2021;24(6):320–327. </w:t>
      </w:r>
    </w:p>
    <w:p w14:paraId="3089E552" w14:textId="77777777" w:rsidR="001E6380" w:rsidRDefault="001E6380" w:rsidP="001E6380">
      <w:pPr>
        <w:widowControl/>
        <w:numPr>
          <w:ilvl w:val="0"/>
          <w:numId w:val="24"/>
        </w:numPr>
        <w:autoSpaceDE/>
        <w:autoSpaceDN/>
        <w:spacing w:before="100" w:beforeAutospacing="1" w:after="100" w:afterAutospacing="1"/>
      </w:pPr>
      <w:r w:rsidRPr="001E6380">
        <w:rPr>
          <w:lang w:val="en-US"/>
        </w:rPr>
        <w:t xml:space="preserve">Omar M, </w:t>
      </w:r>
      <w:proofErr w:type="spellStart"/>
      <w:r w:rsidRPr="001E6380">
        <w:rPr>
          <w:lang w:val="en-US"/>
        </w:rPr>
        <w:t>Zeckey</w:t>
      </w:r>
      <w:proofErr w:type="spellEnd"/>
      <w:r w:rsidRPr="001E6380">
        <w:rPr>
          <w:lang w:val="en-US"/>
        </w:rPr>
        <w:t xml:space="preserve"> C, </w:t>
      </w:r>
      <w:proofErr w:type="spellStart"/>
      <w:r w:rsidRPr="001E6380">
        <w:rPr>
          <w:lang w:val="en-US"/>
        </w:rPr>
        <w:t>Krettek</w:t>
      </w:r>
      <w:proofErr w:type="spellEnd"/>
      <w:r w:rsidRPr="001E6380">
        <w:rPr>
          <w:lang w:val="en-US"/>
        </w:rPr>
        <w:t xml:space="preserve"> C, </w:t>
      </w:r>
      <w:proofErr w:type="spellStart"/>
      <w:r w:rsidRPr="001E6380">
        <w:rPr>
          <w:lang w:val="en-US"/>
        </w:rPr>
        <w:t>Graulich</w:t>
      </w:r>
      <w:proofErr w:type="spellEnd"/>
      <w:r w:rsidRPr="001E6380">
        <w:rPr>
          <w:lang w:val="en-US"/>
        </w:rPr>
        <w:t xml:space="preserve"> T. Open fractures. </w:t>
      </w:r>
      <w:r>
        <w:rPr>
          <w:rStyle w:val="ae"/>
        </w:rPr>
        <w:t xml:space="preserve">Der </w:t>
      </w:r>
      <w:proofErr w:type="spellStart"/>
      <w:r>
        <w:rPr>
          <w:rStyle w:val="ae"/>
        </w:rPr>
        <w:t>Unfallchirurg</w:t>
      </w:r>
      <w:proofErr w:type="spellEnd"/>
      <w:r>
        <w:t xml:space="preserve">. 2021;124(8):651–665. </w:t>
      </w:r>
    </w:p>
    <w:p w14:paraId="352F584D" w14:textId="77777777" w:rsidR="001E6380" w:rsidRPr="004E7F28" w:rsidRDefault="001E6380" w:rsidP="001E6380">
      <w:pPr>
        <w:widowControl/>
        <w:numPr>
          <w:ilvl w:val="0"/>
          <w:numId w:val="24"/>
        </w:numPr>
        <w:autoSpaceDE/>
        <w:autoSpaceDN/>
        <w:spacing w:before="100" w:beforeAutospacing="1" w:after="100" w:afterAutospacing="1"/>
        <w:rPr>
          <w:lang w:val="en-US"/>
        </w:rPr>
      </w:pPr>
      <w:proofErr w:type="spellStart"/>
      <w:r w:rsidRPr="001E6380">
        <w:rPr>
          <w:lang w:val="en-US"/>
        </w:rPr>
        <w:t>Gramlich</w:t>
      </w:r>
      <w:proofErr w:type="spellEnd"/>
      <w:r w:rsidRPr="001E6380">
        <w:rPr>
          <w:lang w:val="en-US"/>
        </w:rPr>
        <w:t xml:space="preserve"> Y, Walter G, Klug A, et al. Procedure for single-stage implant retention for chronic periprosthetic infection using topical degradable calcium-based antibiotics. </w:t>
      </w:r>
      <w:r w:rsidRPr="004E7F28">
        <w:rPr>
          <w:rStyle w:val="ae"/>
          <w:lang w:val="en-US"/>
        </w:rPr>
        <w:t xml:space="preserve">International </w:t>
      </w:r>
      <w:proofErr w:type="spellStart"/>
      <w:r w:rsidRPr="004E7F28">
        <w:rPr>
          <w:rStyle w:val="ae"/>
          <w:lang w:val="en-US"/>
        </w:rPr>
        <w:t>Orthopaedics</w:t>
      </w:r>
      <w:proofErr w:type="spellEnd"/>
      <w:r w:rsidRPr="004E7F28">
        <w:rPr>
          <w:lang w:val="en-US"/>
        </w:rPr>
        <w:t xml:space="preserve">. 2019;43(7):1559–1566. </w:t>
      </w:r>
    </w:p>
    <w:p w14:paraId="745B4FD2" w14:textId="77777777" w:rsidR="001E6380" w:rsidRDefault="001E6380" w:rsidP="001E6380">
      <w:pPr>
        <w:widowControl/>
        <w:numPr>
          <w:ilvl w:val="0"/>
          <w:numId w:val="24"/>
        </w:numPr>
        <w:autoSpaceDE/>
        <w:autoSpaceDN/>
        <w:spacing w:before="100" w:beforeAutospacing="1" w:after="100" w:afterAutospacing="1"/>
      </w:pPr>
      <w:r w:rsidRPr="001E6380">
        <w:rPr>
          <w:lang w:val="en-US"/>
        </w:rPr>
        <w:t xml:space="preserve">Watson L, Dunn D, Fraser-Kirk G. Indolent rib osteomyelitis following breast implant reconstruction: an unusual case and review of the literature. </w:t>
      </w:r>
      <w:proofErr w:type="spellStart"/>
      <w:r>
        <w:rPr>
          <w:rStyle w:val="ae"/>
        </w:rPr>
        <w:t>Aesthetic</w:t>
      </w:r>
      <w:proofErr w:type="spellEnd"/>
      <w:r>
        <w:rPr>
          <w:rStyle w:val="ae"/>
        </w:rPr>
        <w:t xml:space="preserve"> </w:t>
      </w:r>
      <w:proofErr w:type="spellStart"/>
      <w:r>
        <w:rPr>
          <w:rStyle w:val="ae"/>
        </w:rPr>
        <w:t>Plastic</w:t>
      </w:r>
      <w:proofErr w:type="spellEnd"/>
      <w:r>
        <w:rPr>
          <w:rStyle w:val="ae"/>
        </w:rPr>
        <w:t xml:space="preserve"> </w:t>
      </w:r>
      <w:proofErr w:type="spellStart"/>
      <w:r>
        <w:rPr>
          <w:rStyle w:val="ae"/>
        </w:rPr>
        <w:t>Surgery</w:t>
      </w:r>
      <w:proofErr w:type="spellEnd"/>
      <w:r>
        <w:t xml:space="preserve">. 2018;42(2):447–450. </w:t>
      </w:r>
    </w:p>
    <w:p w14:paraId="6E1220ED" w14:textId="77777777" w:rsidR="001E6380" w:rsidRDefault="001E6380" w:rsidP="001E6380">
      <w:pPr>
        <w:widowControl/>
        <w:numPr>
          <w:ilvl w:val="0"/>
          <w:numId w:val="24"/>
        </w:numPr>
        <w:autoSpaceDE/>
        <w:autoSpaceDN/>
        <w:spacing w:before="100" w:beforeAutospacing="1" w:after="100" w:afterAutospacing="1"/>
      </w:pPr>
      <w:proofErr w:type="spellStart"/>
      <w:r w:rsidRPr="001E6380">
        <w:rPr>
          <w:lang w:val="en-US"/>
        </w:rPr>
        <w:t>Besal</w:t>
      </w:r>
      <w:proofErr w:type="spellEnd"/>
      <w:r w:rsidRPr="001E6380">
        <w:rPr>
          <w:lang w:val="en-US"/>
        </w:rPr>
        <w:t xml:space="preserve"> R, </w:t>
      </w:r>
      <w:proofErr w:type="spellStart"/>
      <w:r w:rsidRPr="001E6380">
        <w:rPr>
          <w:lang w:val="en-US"/>
        </w:rPr>
        <w:t>Adamič</w:t>
      </w:r>
      <w:proofErr w:type="spellEnd"/>
      <w:r w:rsidRPr="001E6380">
        <w:rPr>
          <w:lang w:val="en-US"/>
        </w:rPr>
        <w:t xml:space="preserve"> P, </w:t>
      </w:r>
      <w:proofErr w:type="spellStart"/>
      <w:r w:rsidRPr="001E6380">
        <w:rPr>
          <w:lang w:val="en-US"/>
        </w:rPr>
        <w:t>Beović</w:t>
      </w:r>
      <w:proofErr w:type="spellEnd"/>
      <w:r w:rsidRPr="001E6380">
        <w:rPr>
          <w:lang w:val="en-US"/>
        </w:rPr>
        <w:t xml:space="preserve"> B, </w:t>
      </w:r>
      <w:proofErr w:type="spellStart"/>
      <w:r w:rsidRPr="001E6380">
        <w:rPr>
          <w:lang w:val="en-US"/>
        </w:rPr>
        <w:t>Papst</w:t>
      </w:r>
      <w:proofErr w:type="spellEnd"/>
      <w:r w:rsidRPr="001E6380">
        <w:rPr>
          <w:lang w:val="en-US"/>
        </w:rPr>
        <w:t xml:space="preserve"> L. Systemic antimicrobial treatment of chronic osteomyelitis in adults: a narrative review. </w:t>
      </w:r>
      <w:proofErr w:type="spellStart"/>
      <w:r>
        <w:rPr>
          <w:rStyle w:val="ae"/>
        </w:rPr>
        <w:t>Antibiotics</w:t>
      </w:r>
      <w:proofErr w:type="spellEnd"/>
      <w:r>
        <w:rPr>
          <w:rStyle w:val="ae"/>
        </w:rPr>
        <w:t xml:space="preserve"> (Basel)</w:t>
      </w:r>
      <w:r>
        <w:t xml:space="preserve">. 2023;12(6):944. </w:t>
      </w:r>
      <w:hyperlink r:id="rId10" w:tgtFrame="_new" w:history="1">
        <w:r>
          <w:rPr>
            <w:rStyle w:val="a9"/>
          </w:rPr>
          <w:t>https://doi.org/10.3390/antibiotics12060944</w:t>
        </w:r>
      </w:hyperlink>
      <w:r>
        <w:t xml:space="preserve"> </w:t>
      </w:r>
    </w:p>
    <w:p w14:paraId="488604D4" w14:textId="77777777" w:rsidR="001E6380" w:rsidRDefault="001E6380" w:rsidP="001E6380">
      <w:pPr>
        <w:widowControl/>
        <w:numPr>
          <w:ilvl w:val="0"/>
          <w:numId w:val="24"/>
        </w:numPr>
        <w:autoSpaceDE/>
        <w:autoSpaceDN/>
        <w:spacing w:before="100" w:beforeAutospacing="1" w:after="100" w:afterAutospacing="1"/>
      </w:pPr>
      <w:proofErr w:type="spellStart"/>
      <w:r w:rsidRPr="001E6380">
        <w:rPr>
          <w:lang w:val="en-US"/>
        </w:rPr>
        <w:t>Muteeb</w:t>
      </w:r>
      <w:proofErr w:type="spellEnd"/>
      <w:r w:rsidRPr="001E6380">
        <w:rPr>
          <w:lang w:val="en-US"/>
        </w:rPr>
        <w:t xml:space="preserve"> G, Rehman MT, </w:t>
      </w:r>
      <w:proofErr w:type="spellStart"/>
      <w:r w:rsidRPr="001E6380">
        <w:rPr>
          <w:lang w:val="en-US"/>
        </w:rPr>
        <w:t>Shahwan</w:t>
      </w:r>
      <w:proofErr w:type="spellEnd"/>
      <w:r w:rsidRPr="001E6380">
        <w:rPr>
          <w:lang w:val="en-US"/>
        </w:rPr>
        <w:t xml:space="preserve"> M, </w:t>
      </w:r>
      <w:proofErr w:type="spellStart"/>
      <w:r w:rsidRPr="001E6380">
        <w:rPr>
          <w:lang w:val="en-US"/>
        </w:rPr>
        <w:t>Aatif</w:t>
      </w:r>
      <w:proofErr w:type="spellEnd"/>
      <w:r w:rsidRPr="001E6380">
        <w:rPr>
          <w:lang w:val="en-US"/>
        </w:rPr>
        <w:t xml:space="preserve"> M. Origin of antibiotics and antibiotic resistance, and their impacts on drug development: a narrative review. </w:t>
      </w:r>
      <w:r>
        <w:rPr>
          <w:rStyle w:val="ae"/>
        </w:rPr>
        <w:t>Pharmaceuticals</w:t>
      </w:r>
      <w:r>
        <w:t xml:space="preserve">. 2023;16(11):1615. </w:t>
      </w:r>
      <w:hyperlink r:id="rId11" w:tgtFrame="_new" w:history="1">
        <w:r>
          <w:rPr>
            <w:rStyle w:val="a9"/>
          </w:rPr>
          <w:t>https://doi.org/10.3390/ph16111615</w:t>
        </w:r>
      </w:hyperlink>
      <w:r>
        <w:t xml:space="preserve"> </w:t>
      </w:r>
    </w:p>
    <w:p w14:paraId="58742609" w14:textId="77777777" w:rsidR="001E6380" w:rsidRDefault="001E6380" w:rsidP="001E6380">
      <w:pPr>
        <w:widowControl/>
        <w:numPr>
          <w:ilvl w:val="0"/>
          <w:numId w:val="24"/>
        </w:numPr>
        <w:autoSpaceDE/>
        <w:autoSpaceDN/>
        <w:spacing w:before="100" w:beforeAutospacing="1" w:after="100" w:afterAutospacing="1"/>
      </w:pPr>
      <w:r w:rsidRPr="001E6380">
        <w:rPr>
          <w:lang w:val="en-US"/>
        </w:rPr>
        <w:t xml:space="preserve">Chen X, Zhou J, Qian Y, Zhao L. Antibacterial coatings on orthopedic implants. </w:t>
      </w:r>
      <w:proofErr w:type="spellStart"/>
      <w:r>
        <w:rPr>
          <w:rStyle w:val="ae"/>
        </w:rPr>
        <w:t>Materials</w:t>
      </w:r>
      <w:proofErr w:type="spellEnd"/>
      <w:r>
        <w:rPr>
          <w:rStyle w:val="ae"/>
        </w:rPr>
        <w:t xml:space="preserve"> Today </w:t>
      </w:r>
      <w:proofErr w:type="spellStart"/>
      <w:r>
        <w:rPr>
          <w:rStyle w:val="ae"/>
        </w:rPr>
        <w:t>Bio</w:t>
      </w:r>
      <w:proofErr w:type="spellEnd"/>
      <w:r>
        <w:t xml:space="preserve">. </w:t>
      </w:r>
      <w:proofErr w:type="gramStart"/>
      <w:r>
        <w:t>2023;19:100586</w:t>
      </w:r>
      <w:proofErr w:type="gramEnd"/>
      <w:r>
        <w:t xml:space="preserve">. </w:t>
      </w:r>
      <w:hyperlink r:id="rId12" w:tgtFrame="_new" w:history="1">
        <w:r>
          <w:rPr>
            <w:rStyle w:val="a9"/>
          </w:rPr>
          <w:t>https://doi.org/10.1016/j.mtbio.2023.100586</w:t>
        </w:r>
      </w:hyperlink>
      <w:r>
        <w:t xml:space="preserve"> </w:t>
      </w:r>
    </w:p>
    <w:p w14:paraId="7AE40C1F" w14:textId="77777777" w:rsidR="001E6380" w:rsidRPr="004E7F28" w:rsidRDefault="001E6380" w:rsidP="001E6380">
      <w:pPr>
        <w:widowControl/>
        <w:numPr>
          <w:ilvl w:val="0"/>
          <w:numId w:val="24"/>
        </w:numPr>
        <w:autoSpaceDE/>
        <w:autoSpaceDN/>
        <w:spacing w:before="100" w:beforeAutospacing="1" w:after="100" w:afterAutospacing="1"/>
        <w:rPr>
          <w:lang w:val="en-US"/>
        </w:rPr>
      </w:pPr>
      <w:proofErr w:type="spellStart"/>
      <w:r w:rsidRPr="001E6380">
        <w:rPr>
          <w:lang w:val="en-US"/>
        </w:rPr>
        <w:t>Visperas</w:t>
      </w:r>
      <w:proofErr w:type="spellEnd"/>
      <w:r w:rsidRPr="001E6380">
        <w:rPr>
          <w:lang w:val="en-US"/>
        </w:rPr>
        <w:t xml:space="preserve"> A, Santana D, </w:t>
      </w:r>
      <w:proofErr w:type="spellStart"/>
      <w:r w:rsidRPr="001E6380">
        <w:rPr>
          <w:lang w:val="en-US"/>
        </w:rPr>
        <w:t>Klika</w:t>
      </w:r>
      <w:proofErr w:type="spellEnd"/>
      <w:r w:rsidRPr="001E6380">
        <w:rPr>
          <w:lang w:val="en-US"/>
        </w:rPr>
        <w:t xml:space="preserve"> AK, et al. Current treatments for biofilm-associated periprosthetic joint infection and new potential strategies. </w:t>
      </w:r>
      <w:r w:rsidRPr="004E7F28">
        <w:rPr>
          <w:rStyle w:val="ae"/>
          <w:lang w:val="en-US"/>
        </w:rPr>
        <w:t xml:space="preserve">Journal of </w:t>
      </w:r>
      <w:proofErr w:type="spellStart"/>
      <w:r w:rsidRPr="004E7F28">
        <w:rPr>
          <w:rStyle w:val="ae"/>
          <w:lang w:val="en-US"/>
        </w:rPr>
        <w:t>Orthopaedic</w:t>
      </w:r>
      <w:proofErr w:type="spellEnd"/>
      <w:r w:rsidRPr="004E7F28">
        <w:rPr>
          <w:rStyle w:val="ae"/>
          <w:lang w:val="en-US"/>
        </w:rPr>
        <w:t xml:space="preserve"> Research</w:t>
      </w:r>
      <w:r w:rsidRPr="004E7F28">
        <w:rPr>
          <w:lang w:val="en-US"/>
        </w:rPr>
        <w:t xml:space="preserve">. 2022;40(7):1477–1491. </w:t>
      </w:r>
      <w:hyperlink r:id="rId13" w:tgtFrame="_new" w:history="1">
        <w:r w:rsidRPr="004E7F28">
          <w:rPr>
            <w:rStyle w:val="a9"/>
            <w:lang w:val="en-US"/>
          </w:rPr>
          <w:t>https://doi.org/10.1002/jor.25345</w:t>
        </w:r>
      </w:hyperlink>
      <w:r w:rsidRPr="004E7F28">
        <w:rPr>
          <w:lang w:val="en-US"/>
        </w:rPr>
        <w:t xml:space="preserve"> </w:t>
      </w:r>
    </w:p>
    <w:p w14:paraId="19B1EDD6" w14:textId="77777777" w:rsidR="001E6380" w:rsidRDefault="001E6380" w:rsidP="001E6380">
      <w:pPr>
        <w:widowControl/>
        <w:numPr>
          <w:ilvl w:val="0"/>
          <w:numId w:val="24"/>
        </w:numPr>
        <w:autoSpaceDE/>
        <w:autoSpaceDN/>
        <w:spacing w:before="100" w:beforeAutospacing="1" w:after="100" w:afterAutospacing="1"/>
      </w:pPr>
      <w:proofErr w:type="spellStart"/>
      <w:r w:rsidRPr="001E6380">
        <w:rPr>
          <w:lang w:val="en-US"/>
        </w:rPr>
        <w:t>Tzaneti</w:t>
      </w:r>
      <w:proofErr w:type="spellEnd"/>
      <w:r w:rsidRPr="001E6380">
        <w:rPr>
          <w:lang w:val="en-US"/>
        </w:rPr>
        <w:t xml:space="preserve"> A, </w:t>
      </w:r>
      <w:proofErr w:type="spellStart"/>
      <w:r w:rsidRPr="001E6380">
        <w:rPr>
          <w:lang w:val="en-US"/>
        </w:rPr>
        <w:t>Athanasopoulou</w:t>
      </w:r>
      <w:proofErr w:type="spellEnd"/>
      <w:r w:rsidRPr="001E6380">
        <w:rPr>
          <w:lang w:val="en-US"/>
        </w:rPr>
        <w:t xml:space="preserve"> E, </w:t>
      </w:r>
      <w:proofErr w:type="spellStart"/>
      <w:r w:rsidRPr="001E6380">
        <w:rPr>
          <w:lang w:val="en-US"/>
        </w:rPr>
        <w:t>Fessatou</w:t>
      </w:r>
      <w:proofErr w:type="spellEnd"/>
      <w:r w:rsidRPr="001E6380">
        <w:rPr>
          <w:lang w:val="en-US"/>
        </w:rPr>
        <w:t xml:space="preserve"> S, </w:t>
      </w:r>
      <w:proofErr w:type="spellStart"/>
      <w:r w:rsidRPr="001E6380">
        <w:rPr>
          <w:lang w:val="en-US"/>
        </w:rPr>
        <w:t>Fotis</w:t>
      </w:r>
      <w:proofErr w:type="spellEnd"/>
      <w:r w:rsidRPr="001E6380">
        <w:rPr>
          <w:lang w:val="en-US"/>
        </w:rPr>
        <w:t xml:space="preserve"> L. Chronic nonbacterial osteomyelitis in inflammatory bowel disease. </w:t>
      </w:r>
      <w:r>
        <w:rPr>
          <w:rStyle w:val="ae"/>
        </w:rPr>
        <w:t>Life (Basel)</w:t>
      </w:r>
      <w:r>
        <w:t xml:space="preserve">. 2023;13(12):2347. </w:t>
      </w:r>
      <w:hyperlink r:id="rId14" w:tgtFrame="_new" w:history="1">
        <w:r>
          <w:rPr>
            <w:rStyle w:val="a9"/>
          </w:rPr>
          <w:t>https://doi.org/10.3390/life13122347</w:t>
        </w:r>
      </w:hyperlink>
      <w:r>
        <w:t xml:space="preserve"> </w:t>
      </w:r>
    </w:p>
    <w:p w14:paraId="59FDE5DC" w14:textId="77777777" w:rsidR="001E6380" w:rsidRDefault="001E6380" w:rsidP="001E6380">
      <w:pPr>
        <w:widowControl/>
        <w:numPr>
          <w:ilvl w:val="0"/>
          <w:numId w:val="24"/>
        </w:numPr>
        <w:autoSpaceDE/>
        <w:autoSpaceDN/>
        <w:spacing w:before="100" w:beforeAutospacing="1" w:after="100" w:afterAutospacing="1"/>
      </w:pPr>
      <w:proofErr w:type="spellStart"/>
      <w:r w:rsidRPr="001E6380">
        <w:rPr>
          <w:lang w:val="en-US"/>
        </w:rPr>
        <w:t>Gramlich</w:t>
      </w:r>
      <w:proofErr w:type="spellEnd"/>
      <w:r w:rsidRPr="001E6380">
        <w:rPr>
          <w:lang w:val="en-US"/>
        </w:rPr>
        <w:t xml:space="preserve"> Y, Walter G, Gils J, Hoffmann R. Early results of adjuvant topical treatment of recurrent osteomyelitis with absorbable antibiotic carriers. </w:t>
      </w:r>
      <w:proofErr w:type="spellStart"/>
      <w:r>
        <w:rPr>
          <w:rStyle w:val="ae"/>
        </w:rPr>
        <w:t>Zeitschrift</w:t>
      </w:r>
      <w:proofErr w:type="spellEnd"/>
      <w:r>
        <w:rPr>
          <w:rStyle w:val="ae"/>
        </w:rPr>
        <w:t xml:space="preserve"> </w:t>
      </w:r>
      <w:proofErr w:type="spellStart"/>
      <w:r>
        <w:rPr>
          <w:rStyle w:val="ae"/>
        </w:rPr>
        <w:t>für</w:t>
      </w:r>
      <w:proofErr w:type="spellEnd"/>
      <w:r>
        <w:rPr>
          <w:rStyle w:val="ae"/>
        </w:rPr>
        <w:t xml:space="preserve"> </w:t>
      </w:r>
      <w:proofErr w:type="spellStart"/>
      <w:r>
        <w:rPr>
          <w:rStyle w:val="ae"/>
        </w:rPr>
        <w:t>Orthopädie</w:t>
      </w:r>
      <w:proofErr w:type="spellEnd"/>
      <w:r>
        <w:rPr>
          <w:rStyle w:val="ae"/>
        </w:rPr>
        <w:t xml:space="preserve"> </w:t>
      </w:r>
      <w:proofErr w:type="spellStart"/>
      <w:r>
        <w:rPr>
          <w:rStyle w:val="ae"/>
        </w:rPr>
        <w:t>und</w:t>
      </w:r>
      <w:proofErr w:type="spellEnd"/>
      <w:r>
        <w:rPr>
          <w:rStyle w:val="ae"/>
        </w:rPr>
        <w:t xml:space="preserve"> </w:t>
      </w:r>
      <w:proofErr w:type="spellStart"/>
      <w:r>
        <w:rPr>
          <w:rStyle w:val="ae"/>
        </w:rPr>
        <w:t>Unfallchirurgie</w:t>
      </w:r>
      <w:proofErr w:type="spellEnd"/>
      <w:r>
        <w:t xml:space="preserve">. 2017;155(1):35–44. </w:t>
      </w:r>
    </w:p>
    <w:p w14:paraId="7C680ED2" w14:textId="77777777" w:rsidR="001E6380" w:rsidRPr="004E7F28" w:rsidRDefault="001E6380" w:rsidP="001E6380">
      <w:pPr>
        <w:widowControl/>
        <w:numPr>
          <w:ilvl w:val="0"/>
          <w:numId w:val="24"/>
        </w:numPr>
        <w:autoSpaceDE/>
        <w:autoSpaceDN/>
        <w:spacing w:before="100" w:beforeAutospacing="1" w:after="100" w:afterAutospacing="1"/>
        <w:rPr>
          <w:lang w:val="en-US"/>
        </w:rPr>
      </w:pPr>
      <w:r w:rsidRPr="001E6380">
        <w:rPr>
          <w:lang w:val="en-US"/>
        </w:rPr>
        <w:t xml:space="preserve">Greco T, </w:t>
      </w:r>
      <w:proofErr w:type="spellStart"/>
      <w:r w:rsidRPr="001E6380">
        <w:rPr>
          <w:lang w:val="en-US"/>
        </w:rPr>
        <w:t>Vitiello</w:t>
      </w:r>
      <w:proofErr w:type="spellEnd"/>
      <w:r w:rsidRPr="001E6380">
        <w:rPr>
          <w:lang w:val="en-US"/>
        </w:rPr>
        <w:t xml:space="preserve"> R, </w:t>
      </w:r>
      <w:proofErr w:type="spellStart"/>
      <w:r w:rsidRPr="001E6380">
        <w:rPr>
          <w:lang w:val="en-US"/>
        </w:rPr>
        <w:t>Cazzato</w:t>
      </w:r>
      <w:proofErr w:type="spellEnd"/>
      <w:r w:rsidRPr="001E6380">
        <w:rPr>
          <w:lang w:val="en-US"/>
        </w:rPr>
        <w:t xml:space="preserve"> G, et al. Intramedullary antibiotic-coated nail in tibial fracture: a systematic review. </w:t>
      </w:r>
      <w:r w:rsidRPr="004E7F28">
        <w:rPr>
          <w:rStyle w:val="ae"/>
          <w:lang w:val="en-US"/>
        </w:rPr>
        <w:t>Journal of Biological Regulators and Homeostatic Agents</w:t>
      </w:r>
      <w:r w:rsidRPr="004E7F28">
        <w:rPr>
          <w:lang w:val="en-US"/>
        </w:rPr>
        <w:t xml:space="preserve">. 2019;34(3):63–69. </w:t>
      </w:r>
    </w:p>
    <w:p w14:paraId="3F0D8FB1" w14:textId="77777777" w:rsidR="001E6380" w:rsidRPr="004E7F28" w:rsidRDefault="001E6380" w:rsidP="001E6380">
      <w:pPr>
        <w:widowControl/>
        <w:numPr>
          <w:ilvl w:val="0"/>
          <w:numId w:val="24"/>
        </w:numPr>
        <w:autoSpaceDE/>
        <w:autoSpaceDN/>
        <w:spacing w:before="100" w:beforeAutospacing="1" w:after="100" w:afterAutospacing="1"/>
        <w:rPr>
          <w:lang w:val="en-US"/>
        </w:rPr>
      </w:pPr>
      <w:proofErr w:type="spellStart"/>
      <w:r w:rsidRPr="001E6380">
        <w:rPr>
          <w:lang w:val="en-US"/>
        </w:rPr>
        <w:t>Maluta</w:t>
      </w:r>
      <w:proofErr w:type="spellEnd"/>
      <w:r w:rsidRPr="001E6380">
        <w:rPr>
          <w:lang w:val="en-US"/>
        </w:rPr>
        <w:t xml:space="preserve"> T, </w:t>
      </w:r>
      <w:proofErr w:type="spellStart"/>
      <w:r w:rsidRPr="001E6380">
        <w:rPr>
          <w:lang w:val="en-US"/>
        </w:rPr>
        <w:t>Lavagnolo</w:t>
      </w:r>
      <w:proofErr w:type="spellEnd"/>
      <w:r w:rsidRPr="001E6380">
        <w:rPr>
          <w:lang w:val="en-US"/>
        </w:rPr>
        <w:t xml:space="preserve"> U, </w:t>
      </w:r>
      <w:proofErr w:type="spellStart"/>
      <w:r w:rsidRPr="001E6380">
        <w:rPr>
          <w:lang w:val="en-US"/>
        </w:rPr>
        <w:t>Segalla</w:t>
      </w:r>
      <w:proofErr w:type="spellEnd"/>
      <w:r w:rsidRPr="001E6380">
        <w:rPr>
          <w:lang w:val="en-US"/>
        </w:rPr>
        <w:t xml:space="preserve"> L, et al. Evaluation of biocompatibility, osteointegration and biomechanical properties of the new </w:t>
      </w:r>
      <w:proofErr w:type="spellStart"/>
      <w:r w:rsidRPr="001E6380">
        <w:rPr>
          <w:lang w:val="en-US"/>
        </w:rPr>
        <w:t>Calcemex</w:t>
      </w:r>
      <w:proofErr w:type="spellEnd"/>
      <w:r w:rsidRPr="001E6380">
        <w:rPr>
          <w:lang w:val="en-US"/>
        </w:rPr>
        <w:t xml:space="preserve">® cement: an in vivo study. </w:t>
      </w:r>
      <w:r w:rsidRPr="004E7F28">
        <w:rPr>
          <w:rStyle w:val="ae"/>
          <w:lang w:val="en-US"/>
        </w:rPr>
        <w:t>European Journal of Histochemistry</w:t>
      </w:r>
      <w:r w:rsidRPr="004E7F28">
        <w:rPr>
          <w:lang w:val="en-US"/>
        </w:rPr>
        <w:t xml:space="preserve">. 2022;66(1):3313. </w:t>
      </w:r>
    </w:p>
    <w:p w14:paraId="064E4774" w14:textId="77777777" w:rsidR="001E6380" w:rsidRPr="001E6380" w:rsidRDefault="001E6380" w:rsidP="001E6380">
      <w:pPr>
        <w:widowControl/>
        <w:numPr>
          <w:ilvl w:val="0"/>
          <w:numId w:val="24"/>
        </w:numPr>
        <w:autoSpaceDE/>
        <w:autoSpaceDN/>
        <w:spacing w:before="100" w:beforeAutospacing="1" w:after="100" w:afterAutospacing="1"/>
        <w:rPr>
          <w:lang w:val="en-US"/>
        </w:rPr>
      </w:pPr>
      <w:r w:rsidRPr="001E6380">
        <w:rPr>
          <w:lang w:val="en-US"/>
        </w:rPr>
        <w:t xml:space="preserve">McNally MA, Ferguson JY, Scarborough M, et al. Mid- to long-term results of single-stage surgery for patients with chronic osteomyelitis using a bioabsorbable gentamicin-loaded ceramic carrier. </w:t>
      </w:r>
      <w:r w:rsidRPr="001E6380">
        <w:rPr>
          <w:rStyle w:val="ae"/>
          <w:lang w:val="en-US"/>
        </w:rPr>
        <w:t>Bone &amp; Joint Journal</w:t>
      </w:r>
      <w:r w:rsidRPr="001E6380">
        <w:rPr>
          <w:lang w:val="en-US"/>
        </w:rPr>
        <w:t>. 2022;104-</w:t>
      </w:r>
      <w:proofErr w:type="gramStart"/>
      <w:r w:rsidRPr="001E6380">
        <w:rPr>
          <w:lang w:val="en-US"/>
        </w:rPr>
        <w:t>B(</w:t>
      </w:r>
      <w:proofErr w:type="gramEnd"/>
      <w:r w:rsidRPr="001E6380">
        <w:rPr>
          <w:lang w:val="en-US"/>
        </w:rPr>
        <w:t xml:space="preserve">9):1095–1100. </w:t>
      </w:r>
      <w:hyperlink r:id="rId15" w:tgtFrame="_new" w:history="1">
        <w:r w:rsidRPr="001E6380">
          <w:rPr>
            <w:rStyle w:val="a9"/>
            <w:lang w:val="en-US"/>
          </w:rPr>
          <w:t>https://doi.org/10.1302/0301-620X.104B9.BJJ-2022-0396.R1</w:t>
        </w:r>
      </w:hyperlink>
      <w:r w:rsidRPr="001E6380">
        <w:rPr>
          <w:lang w:val="en-US"/>
        </w:rPr>
        <w:t xml:space="preserve"> </w:t>
      </w:r>
    </w:p>
    <w:p w14:paraId="0417F1EE" w14:textId="77777777" w:rsidR="001E6380" w:rsidRPr="004E7F28" w:rsidRDefault="001E6380" w:rsidP="001E6380">
      <w:pPr>
        <w:widowControl/>
        <w:numPr>
          <w:ilvl w:val="0"/>
          <w:numId w:val="24"/>
        </w:numPr>
        <w:autoSpaceDE/>
        <w:autoSpaceDN/>
        <w:spacing w:before="100" w:beforeAutospacing="1" w:after="100" w:afterAutospacing="1"/>
        <w:rPr>
          <w:lang w:val="en-US"/>
        </w:rPr>
      </w:pPr>
      <w:r w:rsidRPr="001E6380">
        <w:rPr>
          <w:lang w:val="en-US"/>
        </w:rPr>
        <w:lastRenderedPageBreak/>
        <w:t xml:space="preserve">Franz D, </w:t>
      </w:r>
      <w:proofErr w:type="spellStart"/>
      <w:r w:rsidRPr="001E6380">
        <w:rPr>
          <w:lang w:val="en-US"/>
        </w:rPr>
        <w:t>Raschke</w:t>
      </w:r>
      <w:proofErr w:type="spellEnd"/>
      <w:r w:rsidRPr="001E6380">
        <w:rPr>
          <w:lang w:val="en-US"/>
        </w:rPr>
        <w:t xml:space="preserve"> M, </w:t>
      </w:r>
      <w:proofErr w:type="spellStart"/>
      <w:r w:rsidRPr="001E6380">
        <w:rPr>
          <w:lang w:val="en-US"/>
        </w:rPr>
        <w:t>Giannoudis</w:t>
      </w:r>
      <w:proofErr w:type="spellEnd"/>
      <w:r w:rsidRPr="001E6380">
        <w:rPr>
          <w:lang w:val="en-US"/>
        </w:rPr>
        <w:t xml:space="preserve"> PV, et al. Use of antibiotic-coated intramedullary nails in open tibia fractures: a European resource use and cost-effectiveness analysis. </w:t>
      </w:r>
      <w:r w:rsidRPr="004E7F28">
        <w:rPr>
          <w:rStyle w:val="ae"/>
          <w:lang w:val="en-US"/>
        </w:rPr>
        <w:t>Injury</w:t>
      </w:r>
      <w:r w:rsidRPr="004E7F28">
        <w:rPr>
          <w:lang w:val="en-US"/>
        </w:rPr>
        <w:t xml:space="preserve">. 2021;52(7):1951–1958. </w:t>
      </w:r>
    </w:p>
    <w:p w14:paraId="25A8E133" w14:textId="77777777" w:rsidR="001E6380" w:rsidRPr="004E7F28" w:rsidRDefault="001E6380" w:rsidP="001E6380">
      <w:pPr>
        <w:widowControl/>
        <w:numPr>
          <w:ilvl w:val="0"/>
          <w:numId w:val="24"/>
        </w:numPr>
        <w:autoSpaceDE/>
        <w:autoSpaceDN/>
        <w:spacing w:before="100" w:beforeAutospacing="1" w:after="100" w:afterAutospacing="1"/>
        <w:rPr>
          <w:lang w:val="en-US"/>
        </w:rPr>
      </w:pPr>
      <w:proofErr w:type="spellStart"/>
      <w:r w:rsidRPr="001E6380">
        <w:rPr>
          <w:lang w:val="en-US"/>
        </w:rPr>
        <w:t>Hoveidaei</w:t>
      </w:r>
      <w:proofErr w:type="spellEnd"/>
      <w:r w:rsidRPr="001E6380">
        <w:rPr>
          <w:lang w:val="en-US"/>
        </w:rPr>
        <w:t xml:space="preserve"> AH, </w:t>
      </w:r>
      <w:proofErr w:type="spellStart"/>
      <w:r w:rsidRPr="001E6380">
        <w:rPr>
          <w:lang w:val="en-US"/>
        </w:rPr>
        <w:t>Sabaghian</w:t>
      </w:r>
      <w:proofErr w:type="spellEnd"/>
      <w:r w:rsidRPr="001E6380">
        <w:rPr>
          <w:lang w:val="en-US"/>
        </w:rPr>
        <w:t xml:space="preserve"> A, </w:t>
      </w:r>
      <w:proofErr w:type="spellStart"/>
      <w:r w:rsidRPr="001E6380">
        <w:rPr>
          <w:lang w:val="en-US"/>
        </w:rPr>
        <w:t>Basirat</w:t>
      </w:r>
      <w:proofErr w:type="spellEnd"/>
      <w:r w:rsidRPr="001E6380">
        <w:rPr>
          <w:lang w:val="en-US"/>
        </w:rPr>
        <w:t xml:space="preserve"> E, et al. Local antibiotic delivery systems and their applications in </w:t>
      </w:r>
      <w:proofErr w:type="spellStart"/>
      <w:r w:rsidRPr="001E6380">
        <w:rPr>
          <w:lang w:val="en-US"/>
        </w:rPr>
        <w:t>orthopaedic</w:t>
      </w:r>
      <w:proofErr w:type="spellEnd"/>
      <w:r w:rsidRPr="001E6380">
        <w:rPr>
          <w:lang w:val="en-US"/>
        </w:rPr>
        <w:t xml:space="preserve"> surgery. </w:t>
      </w:r>
      <w:r w:rsidRPr="00382839">
        <w:rPr>
          <w:rStyle w:val="ae"/>
          <w:lang w:val="en-US"/>
        </w:rPr>
        <w:t>JBJS Open Access</w:t>
      </w:r>
      <w:r w:rsidRPr="00382839">
        <w:rPr>
          <w:lang w:val="en-US"/>
        </w:rPr>
        <w:t>. 2025;10(4</w:t>
      </w:r>
      <w:proofErr w:type="gramStart"/>
      <w:r w:rsidRPr="00382839">
        <w:rPr>
          <w:lang w:val="en-US"/>
        </w:rPr>
        <w:t>):e</w:t>
      </w:r>
      <w:proofErr w:type="gramEnd"/>
      <w:r w:rsidRPr="00382839">
        <w:rPr>
          <w:lang w:val="en-US"/>
        </w:rPr>
        <w:t xml:space="preserve">25.00157. </w:t>
      </w:r>
      <w:hyperlink r:id="rId16" w:tgtFrame="_new" w:history="1">
        <w:r w:rsidRPr="004E7F28">
          <w:rPr>
            <w:rStyle w:val="a9"/>
            <w:lang w:val="en-US"/>
          </w:rPr>
          <w:t>https://doi.org/10.2106/JBJS.OA.25.00157</w:t>
        </w:r>
      </w:hyperlink>
      <w:r w:rsidRPr="004E7F28">
        <w:rPr>
          <w:lang w:val="en-US"/>
        </w:rPr>
        <w:t xml:space="preserve"> </w:t>
      </w:r>
    </w:p>
    <w:p w14:paraId="5AD41BAC" w14:textId="77777777" w:rsidR="001E6380" w:rsidRPr="001E6380" w:rsidRDefault="001E6380" w:rsidP="001E6380">
      <w:pPr>
        <w:widowControl/>
        <w:numPr>
          <w:ilvl w:val="0"/>
          <w:numId w:val="24"/>
        </w:numPr>
        <w:autoSpaceDE/>
        <w:autoSpaceDN/>
        <w:spacing w:before="100" w:beforeAutospacing="1" w:after="100" w:afterAutospacing="1"/>
        <w:rPr>
          <w:lang w:val="en-US"/>
        </w:rPr>
      </w:pPr>
      <w:r w:rsidRPr="001E6380">
        <w:rPr>
          <w:lang w:val="en-US"/>
        </w:rPr>
        <w:t xml:space="preserve">Jacob CC, </w:t>
      </w:r>
      <w:proofErr w:type="spellStart"/>
      <w:r w:rsidRPr="001E6380">
        <w:rPr>
          <w:lang w:val="en-US"/>
        </w:rPr>
        <w:t>Daw</w:t>
      </w:r>
      <w:proofErr w:type="spellEnd"/>
      <w:r w:rsidRPr="001E6380">
        <w:rPr>
          <w:lang w:val="en-US"/>
        </w:rPr>
        <w:t xml:space="preserve"> JH, Santiago-Torres J. The efficacy of antibiotic-impregnated calcium sulfate in the treatment of infected non-union and fracture-related infection: a systematic review. </w:t>
      </w:r>
      <w:r w:rsidRPr="001E6380">
        <w:rPr>
          <w:rStyle w:val="ae"/>
          <w:lang w:val="en-US"/>
        </w:rPr>
        <w:t>Journal of Bone and Joint Infection</w:t>
      </w:r>
      <w:r w:rsidRPr="001E6380">
        <w:rPr>
          <w:lang w:val="en-US"/>
        </w:rPr>
        <w:t xml:space="preserve">. </w:t>
      </w:r>
      <w:proofErr w:type="gramStart"/>
      <w:r w:rsidRPr="001E6380">
        <w:rPr>
          <w:lang w:val="en-US"/>
        </w:rPr>
        <w:t>2023;8:91</w:t>
      </w:r>
      <w:proofErr w:type="gramEnd"/>
      <w:r w:rsidRPr="001E6380">
        <w:rPr>
          <w:lang w:val="en-US"/>
        </w:rPr>
        <w:t xml:space="preserve">–97. </w:t>
      </w:r>
      <w:hyperlink r:id="rId17" w:tgtFrame="_new" w:history="1">
        <w:r w:rsidRPr="001E6380">
          <w:rPr>
            <w:rStyle w:val="a9"/>
            <w:lang w:val="en-US"/>
          </w:rPr>
          <w:t>https://doi.org/10.5194/jbji-8-91-2023</w:t>
        </w:r>
      </w:hyperlink>
      <w:r w:rsidRPr="001E6380">
        <w:rPr>
          <w:lang w:val="en-US"/>
        </w:rPr>
        <w:t xml:space="preserve"> </w:t>
      </w:r>
    </w:p>
    <w:p w14:paraId="16366D87" w14:textId="77777777" w:rsidR="001E6380" w:rsidRPr="001E6380" w:rsidRDefault="001E6380" w:rsidP="001E6380">
      <w:pPr>
        <w:widowControl/>
        <w:numPr>
          <w:ilvl w:val="0"/>
          <w:numId w:val="24"/>
        </w:numPr>
        <w:autoSpaceDE/>
        <w:autoSpaceDN/>
        <w:spacing w:before="100" w:beforeAutospacing="1" w:after="100" w:afterAutospacing="1"/>
        <w:rPr>
          <w:lang w:val="en-US"/>
        </w:rPr>
      </w:pPr>
      <w:proofErr w:type="spellStart"/>
      <w:r w:rsidRPr="001E6380">
        <w:rPr>
          <w:lang w:val="en-US"/>
        </w:rPr>
        <w:t>Sakovich</w:t>
      </w:r>
      <w:proofErr w:type="spellEnd"/>
      <w:r w:rsidRPr="001E6380">
        <w:rPr>
          <w:lang w:val="en-US"/>
        </w:rPr>
        <w:t xml:space="preserve"> NV, Andreev AA, </w:t>
      </w:r>
      <w:proofErr w:type="spellStart"/>
      <w:r w:rsidRPr="001E6380">
        <w:rPr>
          <w:lang w:val="en-US"/>
        </w:rPr>
        <w:t>Mikulich</w:t>
      </w:r>
      <w:proofErr w:type="spellEnd"/>
      <w:r w:rsidRPr="001E6380">
        <w:rPr>
          <w:lang w:val="en-US"/>
        </w:rPr>
        <w:t xml:space="preserve"> EV, et al. Modern aspects of etiology, diagnosis and treatment of osteomyelitis. </w:t>
      </w:r>
      <w:proofErr w:type="spellStart"/>
      <w:r w:rsidRPr="001E6380">
        <w:rPr>
          <w:rStyle w:val="ae"/>
          <w:lang w:val="en-US"/>
        </w:rPr>
        <w:t>Vestnik</w:t>
      </w:r>
      <w:proofErr w:type="spellEnd"/>
      <w:r w:rsidRPr="001E6380">
        <w:rPr>
          <w:rStyle w:val="ae"/>
          <w:lang w:val="en-US"/>
        </w:rPr>
        <w:t xml:space="preserve"> </w:t>
      </w:r>
      <w:proofErr w:type="spellStart"/>
      <w:r w:rsidRPr="001E6380">
        <w:rPr>
          <w:rStyle w:val="ae"/>
          <w:lang w:val="en-US"/>
        </w:rPr>
        <w:t>Eksperimentalnoy</w:t>
      </w:r>
      <w:proofErr w:type="spellEnd"/>
      <w:r w:rsidRPr="001E6380">
        <w:rPr>
          <w:rStyle w:val="ae"/>
          <w:lang w:val="en-US"/>
        </w:rPr>
        <w:t xml:space="preserve"> </w:t>
      </w:r>
      <w:proofErr w:type="spellStart"/>
      <w:r w:rsidRPr="001E6380">
        <w:rPr>
          <w:rStyle w:val="ae"/>
          <w:lang w:val="en-US"/>
        </w:rPr>
        <w:t>i</w:t>
      </w:r>
      <w:proofErr w:type="spellEnd"/>
      <w:r w:rsidRPr="001E6380">
        <w:rPr>
          <w:rStyle w:val="ae"/>
          <w:lang w:val="en-US"/>
        </w:rPr>
        <w:t xml:space="preserve"> </w:t>
      </w:r>
      <w:proofErr w:type="spellStart"/>
      <w:r w:rsidRPr="001E6380">
        <w:rPr>
          <w:rStyle w:val="ae"/>
          <w:lang w:val="en-US"/>
        </w:rPr>
        <w:t>Klinicheskoy</w:t>
      </w:r>
      <w:proofErr w:type="spellEnd"/>
      <w:r w:rsidRPr="001E6380">
        <w:rPr>
          <w:rStyle w:val="ae"/>
          <w:lang w:val="en-US"/>
        </w:rPr>
        <w:t xml:space="preserve"> </w:t>
      </w:r>
      <w:proofErr w:type="spellStart"/>
      <w:r w:rsidRPr="001E6380">
        <w:rPr>
          <w:rStyle w:val="ae"/>
          <w:lang w:val="en-US"/>
        </w:rPr>
        <w:t>Khirurgii</w:t>
      </w:r>
      <w:proofErr w:type="spellEnd"/>
      <w:r w:rsidRPr="001E6380">
        <w:rPr>
          <w:lang w:val="en-US"/>
        </w:rPr>
        <w:t xml:space="preserve">. 2018;11(1):70–79. </w:t>
      </w:r>
      <w:hyperlink r:id="rId18" w:tgtFrame="_new" w:history="1">
        <w:r w:rsidRPr="001E6380">
          <w:rPr>
            <w:rStyle w:val="a9"/>
            <w:lang w:val="en-US"/>
          </w:rPr>
          <w:t>https://doi.org/10.18499/2070-478X-2018-11-1-70-79</w:t>
        </w:r>
      </w:hyperlink>
      <w:r w:rsidRPr="001E6380">
        <w:rPr>
          <w:lang w:val="en-US"/>
        </w:rPr>
        <w:t xml:space="preserve"> (in Russian) </w:t>
      </w:r>
    </w:p>
    <w:p w14:paraId="411497EE" w14:textId="77777777" w:rsidR="001E6380" w:rsidRPr="004E7F28" w:rsidRDefault="001E6380" w:rsidP="001E6380">
      <w:pPr>
        <w:widowControl/>
        <w:numPr>
          <w:ilvl w:val="0"/>
          <w:numId w:val="24"/>
        </w:numPr>
        <w:autoSpaceDE/>
        <w:autoSpaceDN/>
        <w:spacing w:before="100" w:beforeAutospacing="1" w:after="100" w:afterAutospacing="1"/>
        <w:rPr>
          <w:lang w:val="en-US"/>
        </w:rPr>
      </w:pPr>
      <w:proofErr w:type="spellStart"/>
      <w:r w:rsidRPr="001E6380">
        <w:rPr>
          <w:lang w:val="en-US"/>
        </w:rPr>
        <w:t>Beuttel</w:t>
      </w:r>
      <w:proofErr w:type="spellEnd"/>
      <w:r w:rsidRPr="001E6380">
        <w:rPr>
          <w:lang w:val="en-US"/>
        </w:rPr>
        <w:t xml:space="preserve"> E, Bormann N, </w:t>
      </w:r>
      <w:proofErr w:type="spellStart"/>
      <w:r w:rsidRPr="001E6380">
        <w:rPr>
          <w:lang w:val="en-US"/>
        </w:rPr>
        <w:t>Pobloth</w:t>
      </w:r>
      <w:proofErr w:type="spellEnd"/>
      <w:r w:rsidRPr="001E6380">
        <w:rPr>
          <w:lang w:val="en-US"/>
        </w:rPr>
        <w:t xml:space="preserve"> AM, et al. Impact of gentamicin-loaded bone graft on defect healing in a sheep model. </w:t>
      </w:r>
      <w:r w:rsidRPr="004E7F28">
        <w:rPr>
          <w:rStyle w:val="ae"/>
          <w:lang w:val="en-US"/>
        </w:rPr>
        <w:t>Materials (Basel)</w:t>
      </w:r>
      <w:r w:rsidRPr="004E7F28">
        <w:rPr>
          <w:lang w:val="en-US"/>
        </w:rPr>
        <w:t xml:space="preserve">. 2019;12(7):1116. </w:t>
      </w:r>
      <w:hyperlink r:id="rId19" w:tgtFrame="_new" w:history="1">
        <w:r w:rsidRPr="004E7F28">
          <w:rPr>
            <w:rStyle w:val="a9"/>
            <w:lang w:val="en-US"/>
          </w:rPr>
          <w:t>https://doi.org/10.3390/ma12071116</w:t>
        </w:r>
      </w:hyperlink>
      <w:r w:rsidRPr="004E7F28">
        <w:rPr>
          <w:lang w:val="en-US"/>
        </w:rPr>
        <w:t xml:space="preserve"> </w:t>
      </w:r>
    </w:p>
    <w:p w14:paraId="4E154EAA" w14:textId="77777777" w:rsidR="001E6380" w:rsidRPr="004E7F28" w:rsidRDefault="001E6380" w:rsidP="001E6380">
      <w:pPr>
        <w:widowControl/>
        <w:numPr>
          <w:ilvl w:val="0"/>
          <w:numId w:val="24"/>
        </w:numPr>
        <w:autoSpaceDE/>
        <w:autoSpaceDN/>
        <w:spacing w:before="100" w:beforeAutospacing="1" w:after="100" w:afterAutospacing="1"/>
        <w:rPr>
          <w:lang w:val="en-US"/>
        </w:rPr>
      </w:pPr>
      <w:r w:rsidRPr="001E6380">
        <w:rPr>
          <w:lang w:val="en-US"/>
        </w:rPr>
        <w:t xml:space="preserve">Berglund B, </w:t>
      </w:r>
      <w:proofErr w:type="spellStart"/>
      <w:r w:rsidRPr="001E6380">
        <w:rPr>
          <w:lang w:val="en-US"/>
        </w:rPr>
        <w:t>Wezenberg</w:t>
      </w:r>
      <w:proofErr w:type="spellEnd"/>
      <w:r w:rsidRPr="001E6380">
        <w:rPr>
          <w:lang w:val="en-US"/>
        </w:rPr>
        <w:t xml:space="preserve"> D, Nilsson M, et al. Bone allograft impregnated with tobramycin and vancomycin delivers antibiotics in high concentrations for prophylaxis against bacteria commonly associated with prosthetic joint infections. </w:t>
      </w:r>
      <w:r w:rsidRPr="00382839">
        <w:rPr>
          <w:rStyle w:val="ae"/>
          <w:lang w:val="en-US"/>
        </w:rPr>
        <w:t>Microbiology Spectrum</w:t>
      </w:r>
      <w:r w:rsidRPr="00382839">
        <w:rPr>
          <w:lang w:val="en-US"/>
        </w:rPr>
        <w:t>. 2024;12(12</w:t>
      </w:r>
      <w:proofErr w:type="gramStart"/>
      <w:r w:rsidRPr="00382839">
        <w:rPr>
          <w:lang w:val="en-US"/>
        </w:rPr>
        <w:t>):e</w:t>
      </w:r>
      <w:proofErr w:type="gramEnd"/>
      <w:r w:rsidRPr="00382839">
        <w:rPr>
          <w:lang w:val="en-US"/>
        </w:rPr>
        <w:t xml:space="preserve">00414-24. </w:t>
      </w:r>
      <w:hyperlink r:id="rId20" w:tgtFrame="_new" w:history="1">
        <w:r w:rsidRPr="004E7F28">
          <w:rPr>
            <w:rStyle w:val="a9"/>
            <w:lang w:val="en-US"/>
          </w:rPr>
          <w:t>https://doi.org/10.1128/spectrum.00414-24</w:t>
        </w:r>
      </w:hyperlink>
      <w:r w:rsidRPr="004E7F28">
        <w:rPr>
          <w:lang w:val="en-US"/>
        </w:rPr>
        <w:t xml:space="preserve"> </w:t>
      </w:r>
    </w:p>
    <w:p w14:paraId="2277BB5B" w14:textId="77777777" w:rsidR="001E6380" w:rsidRPr="004E7F28" w:rsidRDefault="001E6380" w:rsidP="001E6380">
      <w:pPr>
        <w:widowControl/>
        <w:numPr>
          <w:ilvl w:val="0"/>
          <w:numId w:val="24"/>
        </w:numPr>
        <w:autoSpaceDE/>
        <w:autoSpaceDN/>
        <w:spacing w:before="100" w:beforeAutospacing="1" w:after="100" w:afterAutospacing="1"/>
        <w:rPr>
          <w:lang w:val="en-US"/>
        </w:rPr>
      </w:pPr>
      <w:r w:rsidRPr="001E6380">
        <w:rPr>
          <w:lang w:val="en-US"/>
        </w:rPr>
        <w:t xml:space="preserve">Russell JL. Grafton demineralized bone matrix: performance consistency, utility, and value. </w:t>
      </w:r>
      <w:r w:rsidRPr="004E7F28">
        <w:rPr>
          <w:rStyle w:val="ae"/>
          <w:lang w:val="en-US"/>
        </w:rPr>
        <w:t>Tissue Engineering</w:t>
      </w:r>
      <w:r w:rsidRPr="004E7F28">
        <w:rPr>
          <w:lang w:val="en-US"/>
        </w:rPr>
        <w:t xml:space="preserve">. 2000;6(4):435–440. </w:t>
      </w:r>
      <w:hyperlink r:id="rId21" w:tgtFrame="_new" w:history="1">
        <w:r w:rsidRPr="004E7F28">
          <w:rPr>
            <w:rStyle w:val="a9"/>
            <w:lang w:val="en-US"/>
          </w:rPr>
          <w:t>https://doi.org/10.1089/107632700418137</w:t>
        </w:r>
      </w:hyperlink>
      <w:r w:rsidRPr="004E7F28">
        <w:rPr>
          <w:lang w:val="en-US"/>
        </w:rPr>
        <w:t xml:space="preserve"> </w:t>
      </w:r>
    </w:p>
    <w:p w14:paraId="665B659A" w14:textId="77777777" w:rsidR="001E6380" w:rsidRPr="001E6380" w:rsidRDefault="001E6380" w:rsidP="001E6380">
      <w:pPr>
        <w:widowControl/>
        <w:numPr>
          <w:ilvl w:val="0"/>
          <w:numId w:val="24"/>
        </w:numPr>
        <w:autoSpaceDE/>
        <w:autoSpaceDN/>
        <w:spacing w:before="100" w:beforeAutospacing="1" w:after="100" w:afterAutospacing="1"/>
        <w:rPr>
          <w:lang w:val="en-US"/>
        </w:rPr>
      </w:pPr>
      <w:r w:rsidRPr="001E6380">
        <w:rPr>
          <w:lang w:val="en-US"/>
        </w:rPr>
        <w:t xml:space="preserve">Wang Z, Zhang X, Li Z, et al. Biomechanical study of polymethyl methacrylate bone cement and allogeneic bone for strengthening sheep vertebrae. </w:t>
      </w:r>
      <w:proofErr w:type="spellStart"/>
      <w:r w:rsidRPr="001E6380">
        <w:rPr>
          <w:rStyle w:val="ae"/>
          <w:lang w:val="en-US"/>
        </w:rPr>
        <w:t>Zhongguo</w:t>
      </w:r>
      <w:proofErr w:type="spellEnd"/>
      <w:r w:rsidRPr="001E6380">
        <w:rPr>
          <w:rStyle w:val="ae"/>
          <w:lang w:val="en-US"/>
        </w:rPr>
        <w:t xml:space="preserve"> </w:t>
      </w:r>
      <w:proofErr w:type="spellStart"/>
      <w:r w:rsidRPr="001E6380">
        <w:rPr>
          <w:rStyle w:val="ae"/>
          <w:lang w:val="en-US"/>
        </w:rPr>
        <w:t>Xiu</w:t>
      </w:r>
      <w:proofErr w:type="spellEnd"/>
      <w:r w:rsidRPr="001E6380">
        <w:rPr>
          <w:rStyle w:val="ae"/>
          <w:lang w:val="en-US"/>
        </w:rPr>
        <w:t xml:space="preserve"> Fu Chong Jian Wai </w:t>
      </w:r>
      <w:proofErr w:type="spellStart"/>
      <w:r w:rsidRPr="001E6380">
        <w:rPr>
          <w:rStyle w:val="ae"/>
          <w:lang w:val="en-US"/>
        </w:rPr>
        <w:t>Ke</w:t>
      </w:r>
      <w:proofErr w:type="spellEnd"/>
      <w:r w:rsidRPr="001E6380">
        <w:rPr>
          <w:rStyle w:val="ae"/>
          <w:lang w:val="en-US"/>
        </w:rPr>
        <w:t xml:space="preserve"> Za </w:t>
      </w:r>
      <w:proofErr w:type="spellStart"/>
      <w:r w:rsidRPr="001E6380">
        <w:rPr>
          <w:rStyle w:val="ae"/>
          <w:lang w:val="en-US"/>
        </w:rPr>
        <w:t>Zhi</w:t>
      </w:r>
      <w:proofErr w:type="spellEnd"/>
      <w:r w:rsidRPr="001E6380">
        <w:rPr>
          <w:lang w:val="en-US"/>
        </w:rPr>
        <w:t xml:space="preserve">. 2021;35(4):471–476. </w:t>
      </w:r>
      <w:hyperlink r:id="rId22" w:tgtFrame="_new" w:history="1">
        <w:r w:rsidRPr="001E6380">
          <w:rPr>
            <w:rStyle w:val="a9"/>
            <w:lang w:val="en-US"/>
          </w:rPr>
          <w:t>https://doi.org/10.7507/1002-1892.202011061</w:t>
        </w:r>
      </w:hyperlink>
      <w:r w:rsidRPr="001E6380">
        <w:rPr>
          <w:lang w:val="en-US"/>
        </w:rPr>
        <w:t xml:space="preserve"> </w:t>
      </w:r>
    </w:p>
    <w:p w14:paraId="5B55B317" w14:textId="77777777" w:rsidR="001E6380" w:rsidRDefault="001E6380" w:rsidP="001E6380">
      <w:pPr>
        <w:widowControl/>
        <w:numPr>
          <w:ilvl w:val="0"/>
          <w:numId w:val="24"/>
        </w:numPr>
        <w:autoSpaceDE/>
        <w:autoSpaceDN/>
        <w:spacing w:before="100" w:beforeAutospacing="1" w:after="100" w:afterAutospacing="1"/>
      </w:pPr>
      <w:proofErr w:type="spellStart"/>
      <w:r w:rsidRPr="001E6380">
        <w:rPr>
          <w:lang w:val="en-US"/>
        </w:rPr>
        <w:t>Tashmetov</w:t>
      </w:r>
      <w:proofErr w:type="spellEnd"/>
      <w:r w:rsidRPr="001E6380">
        <w:rPr>
          <w:lang w:val="en-US"/>
        </w:rPr>
        <w:t xml:space="preserve"> E, </w:t>
      </w:r>
      <w:proofErr w:type="spellStart"/>
      <w:r w:rsidRPr="001E6380">
        <w:rPr>
          <w:lang w:val="en-US"/>
        </w:rPr>
        <w:t>Tuleubaev</w:t>
      </w:r>
      <w:proofErr w:type="spellEnd"/>
      <w:r w:rsidRPr="001E6380">
        <w:rPr>
          <w:lang w:val="en-US"/>
        </w:rPr>
        <w:t xml:space="preserve"> B, </w:t>
      </w:r>
      <w:proofErr w:type="spellStart"/>
      <w:r w:rsidRPr="001E6380">
        <w:rPr>
          <w:lang w:val="en-US"/>
        </w:rPr>
        <w:t>Saginova</w:t>
      </w:r>
      <w:proofErr w:type="spellEnd"/>
      <w:r w:rsidRPr="001E6380">
        <w:rPr>
          <w:lang w:val="en-US"/>
        </w:rPr>
        <w:t xml:space="preserve"> D, et al. The effect of antibiotic on structural allograft healing of bone defect. </w:t>
      </w:r>
      <w:proofErr w:type="spellStart"/>
      <w:r>
        <w:rPr>
          <w:rStyle w:val="ae"/>
        </w:rPr>
        <w:t>Orthopaedic</w:t>
      </w:r>
      <w:proofErr w:type="spellEnd"/>
      <w:r>
        <w:rPr>
          <w:rStyle w:val="ae"/>
        </w:rPr>
        <w:t xml:space="preserve"> </w:t>
      </w:r>
      <w:proofErr w:type="spellStart"/>
      <w:r>
        <w:rPr>
          <w:rStyle w:val="ae"/>
        </w:rPr>
        <w:t>Proceedings</w:t>
      </w:r>
      <w:proofErr w:type="spellEnd"/>
      <w:r>
        <w:t>. 2020;102-</w:t>
      </w:r>
      <w:proofErr w:type="gramStart"/>
      <w:r>
        <w:t>B(</w:t>
      </w:r>
      <w:proofErr w:type="gramEnd"/>
      <w:r>
        <w:t xml:space="preserve">11):4. </w:t>
      </w:r>
      <w:hyperlink r:id="rId23" w:tgtFrame="_new" w:history="1">
        <w:r>
          <w:rPr>
            <w:rStyle w:val="a9"/>
          </w:rPr>
          <w:t>https://doi.org/10.1302/1358-992X.2020.11.004</w:t>
        </w:r>
      </w:hyperlink>
      <w:r>
        <w:t xml:space="preserve"> </w:t>
      </w:r>
    </w:p>
    <w:p w14:paraId="01C453A6" w14:textId="77777777" w:rsidR="001E6380" w:rsidRDefault="001E6380" w:rsidP="001E6380">
      <w:pPr>
        <w:widowControl/>
        <w:numPr>
          <w:ilvl w:val="0"/>
          <w:numId w:val="24"/>
        </w:numPr>
        <w:autoSpaceDE/>
        <w:autoSpaceDN/>
        <w:spacing w:before="100" w:beforeAutospacing="1" w:after="100" w:afterAutospacing="1"/>
      </w:pPr>
      <w:proofErr w:type="spellStart"/>
      <w:r w:rsidRPr="001E6380">
        <w:rPr>
          <w:lang w:val="en-US"/>
        </w:rPr>
        <w:t>Saginova</w:t>
      </w:r>
      <w:proofErr w:type="spellEnd"/>
      <w:r w:rsidRPr="001E6380">
        <w:rPr>
          <w:lang w:val="en-US"/>
        </w:rPr>
        <w:t xml:space="preserve"> DA. Microbial landscape in patients with chronic osteomyelitis and bacteriological effectiveness of local antibiotic delivery against </w:t>
      </w:r>
      <w:r w:rsidRPr="001E6380">
        <w:rPr>
          <w:rStyle w:val="ae"/>
          <w:lang w:val="en-US"/>
        </w:rPr>
        <w:t>S. aureus</w:t>
      </w:r>
      <w:r w:rsidRPr="001E6380">
        <w:rPr>
          <w:lang w:val="en-US"/>
        </w:rPr>
        <w:t xml:space="preserve">. </w:t>
      </w:r>
      <w:proofErr w:type="spellStart"/>
      <w:r w:rsidRPr="004E7F28">
        <w:rPr>
          <w:rStyle w:val="ae"/>
          <w:lang w:val="en-US"/>
        </w:rPr>
        <w:t>Meditsina</w:t>
      </w:r>
      <w:proofErr w:type="spellEnd"/>
      <w:r w:rsidRPr="004E7F28">
        <w:rPr>
          <w:lang w:val="en-US"/>
        </w:rPr>
        <w:t xml:space="preserve">. 2018;1(187):44–48. </w:t>
      </w:r>
      <w:r>
        <w:t>(</w:t>
      </w:r>
      <w:proofErr w:type="spellStart"/>
      <w:r>
        <w:t>in</w:t>
      </w:r>
      <w:proofErr w:type="spellEnd"/>
      <w:r>
        <w:t xml:space="preserve"> Russian) </w:t>
      </w:r>
    </w:p>
    <w:p w14:paraId="63C9B60F" w14:textId="77777777" w:rsidR="001E6380" w:rsidRDefault="001E6380" w:rsidP="001E6380">
      <w:pPr>
        <w:widowControl/>
        <w:numPr>
          <w:ilvl w:val="0"/>
          <w:numId w:val="24"/>
        </w:numPr>
        <w:autoSpaceDE/>
        <w:autoSpaceDN/>
        <w:spacing w:before="100" w:beforeAutospacing="1" w:after="100" w:afterAutospacing="1"/>
      </w:pPr>
      <w:r w:rsidRPr="001E6380">
        <w:rPr>
          <w:lang w:val="en-US"/>
        </w:rPr>
        <w:t xml:space="preserve">Kelly CL, Borrelli J Jr, Ricci WM. A reproducible radiographic scoring system for experimental osteomyelitis in the rabbit tibia. </w:t>
      </w:r>
      <w:r>
        <w:rPr>
          <w:rStyle w:val="ae"/>
        </w:rPr>
        <w:t xml:space="preserve">Journal </w:t>
      </w:r>
      <w:proofErr w:type="spellStart"/>
      <w:r>
        <w:rPr>
          <w:rStyle w:val="ae"/>
        </w:rPr>
        <w:t>of</w:t>
      </w:r>
      <w:proofErr w:type="spellEnd"/>
      <w:r>
        <w:rPr>
          <w:rStyle w:val="ae"/>
        </w:rPr>
        <w:t xml:space="preserve"> </w:t>
      </w:r>
      <w:proofErr w:type="spellStart"/>
      <w:r>
        <w:rPr>
          <w:rStyle w:val="ae"/>
        </w:rPr>
        <w:t>Orthopaedic</w:t>
      </w:r>
      <w:proofErr w:type="spellEnd"/>
      <w:r>
        <w:rPr>
          <w:rStyle w:val="ae"/>
        </w:rPr>
        <w:t xml:space="preserve"> Research</w:t>
      </w:r>
      <w:r>
        <w:t xml:space="preserve">. 2009;27(2):192–198. </w:t>
      </w:r>
      <w:hyperlink r:id="rId24" w:tgtFrame="_new" w:history="1">
        <w:r>
          <w:rPr>
            <w:rStyle w:val="a9"/>
          </w:rPr>
          <w:t>https://doi.org/10.1002/jor.20713</w:t>
        </w:r>
      </w:hyperlink>
    </w:p>
    <w:p w14:paraId="4ED35638" w14:textId="77777777" w:rsidR="00F55C1D" w:rsidRDefault="00F55C1D" w:rsidP="001E6380">
      <w:pPr>
        <w:jc w:val="both"/>
        <w:outlineLvl w:val="0"/>
        <w:rPr>
          <w:b/>
          <w:sz w:val="28"/>
          <w:szCs w:val="28"/>
        </w:rPr>
      </w:pPr>
    </w:p>
    <w:p w14:paraId="42EB584E" w14:textId="29F002FA" w:rsidR="000C2759" w:rsidRPr="001E6380" w:rsidRDefault="000C2759" w:rsidP="001E6380">
      <w:pPr>
        <w:pStyle w:val="CitaviBibliographyEntry"/>
        <w:tabs>
          <w:tab w:val="clear" w:pos="454"/>
        </w:tabs>
        <w:spacing w:before="0" w:after="0"/>
        <w:ind w:left="0" w:firstLine="0"/>
        <w:jc w:val="both"/>
        <w:rPr>
          <w:rFonts w:cs="Times New Roman"/>
          <w:sz w:val="22"/>
          <w:lang w:val="en-US"/>
        </w:rPr>
      </w:pPr>
    </w:p>
    <w:sectPr w:rsidR="000C2759" w:rsidRPr="001E6380" w:rsidSect="00B26D9C">
      <w:footerReference w:type="default" r:id="rId25"/>
      <w:pgSz w:w="11910" w:h="16840"/>
      <w:pgMar w:top="1134" w:right="567" w:bottom="1134" w:left="1701"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488A" w14:textId="77777777" w:rsidR="00393D56" w:rsidRDefault="00393D56">
      <w:r>
        <w:separator/>
      </w:r>
    </w:p>
  </w:endnote>
  <w:endnote w:type="continuationSeparator" w:id="0">
    <w:p w14:paraId="1A4DC2B2" w14:textId="77777777" w:rsidR="00393D56" w:rsidRDefault="0039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CC4B" w14:textId="77777777" w:rsidR="009B6D2D" w:rsidRDefault="009B6D2D">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8240" behindDoc="1" locked="0" layoutInCell="1" allowOverlap="1" wp14:anchorId="2C20D943" wp14:editId="033BABC6">
              <wp:simplePos x="0" y="0"/>
              <wp:positionH relativeFrom="page">
                <wp:posOffset>3878071</wp:posOffset>
              </wp:positionH>
              <wp:positionV relativeFrom="page">
                <wp:posOffset>9918903</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2339702C" w14:textId="77777777" w:rsidR="009B6D2D" w:rsidRDefault="009B6D2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6BC7">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2C20D943" id="_x0000_t202" coordsize="21600,21600" o:spt="202" path="m,l,21600r21600,l21600,xe">
              <v:stroke joinstyle="miter"/>
              <v:path gradientshapeok="t" o:connecttype="rect"/>
            </v:shapetype>
            <v:shape id="Textbox 1" o:spid="_x0000_s1026" type="#_x0000_t202" style="position:absolute;margin-left:305.35pt;margin-top:781pt;width:13.0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" filled="f" stroked="f">
              <v:textbox inset="0,0,0,0">
                <w:txbxContent>
                  <w:p w14:paraId="2339702C" w14:textId="77777777" w:rsidR="009B6D2D" w:rsidRDefault="009B6D2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6BC7">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12D5" w14:textId="77777777" w:rsidR="00393D56" w:rsidRDefault="00393D56">
      <w:r>
        <w:separator/>
      </w:r>
    </w:p>
  </w:footnote>
  <w:footnote w:type="continuationSeparator" w:id="0">
    <w:p w14:paraId="61629410" w14:textId="77777777" w:rsidR="00393D56" w:rsidRDefault="00393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078"/>
    <w:multiLevelType w:val="hybridMultilevel"/>
    <w:tmpl w:val="A5DA2558"/>
    <w:lvl w:ilvl="0" w:tplc="682CFD8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DC555E"/>
    <w:multiLevelType w:val="hybridMultilevel"/>
    <w:tmpl w:val="68B41D90"/>
    <w:lvl w:ilvl="0" w:tplc="A8B47468">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8332E13"/>
    <w:multiLevelType w:val="hybridMultilevel"/>
    <w:tmpl w:val="A77CF4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8C23D05"/>
    <w:multiLevelType w:val="hybridMultilevel"/>
    <w:tmpl w:val="352AEAE0"/>
    <w:lvl w:ilvl="0" w:tplc="35EC0798">
      <w:start w:val="1"/>
      <w:numFmt w:val="decimal"/>
      <w:lvlText w:val="%1)"/>
      <w:lvlJc w:val="left"/>
      <w:pPr>
        <w:ind w:left="141" w:hanging="423"/>
      </w:pPr>
      <w:rPr>
        <w:rFonts w:ascii="Times New Roman" w:eastAsia="Times New Roman" w:hAnsi="Times New Roman" w:cs="Times New Roman" w:hint="default"/>
        <w:b w:val="0"/>
        <w:bCs w:val="0"/>
        <w:i w:val="0"/>
        <w:iCs w:val="0"/>
        <w:spacing w:val="0"/>
        <w:w w:val="99"/>
        <w:sz w:val="28"/>
        <w:szCs w:val="28"/>
        <w:lang w:val="ru-RU" w:eastAsia="en-US" w:bidi="ar-SA"/>
      </w:rPr>
    </w:lvl>
    <w:lvl w:ilvl="1" w:tplc="8C96C43A">
      <w:numFmt w:val="bullet"/>
      <w:lvlText w:val="•"/>
      <w:lvlJc w:val="left"/>
      <w:pPr>
        <w:ind w:left="1174" w:hanging="423"/>
      </w:pPr>
      <w:rPr>
        <w:rFonts w:hint="default"/>
        <w:lang w:val="ru-RU" w:eastAsia="en-US" w:bidi="ar-SA"/>
      </w:rPr>
    </w:lvl>
    <w:lvl w:ilvl="2" w:tplc="955EAAB8">
      <w:numFmt w:val="bullet"/>
      <w:lvlText w:val="•"/>
      <w:lvlJc w:val="left"/>
      <w:pPr>
        <w:ind w:left="2209" w:hanging="423"/>
      </w:pPr>
      <w:rPr>
        <w:rFonts w:hint="default"/>
        <w:lang w:val="ru-RU" w:eastAsia="en-US" w:bidi="ar-SA"/>
      </w:rPr>
    </w:lvl>
    <w:lvl w:ilvl="3" w:tplc="EF9CED80">
      <w:numFmt w:val="bullet"/>
      <w:lvlText w:val="•"/>
      <w:lvlJc w:val="left"/>
      <w:pPr>
        <w:ind w:left="3244" w:hanging="423"/>
      </w:pPr>
      <w:rPr>
        <w:rFonts w:hint="default"/>
        <w:lang w:val="ru-RU" w:eastAsia="en-US" w:bidi="ar-SA"/>
      </w:rPr>
    </w:lvl>
    <w:lvl w:ilvl="4" w:tplc="E33C2354">
      <w:numFmt w:val="bullet"/>
      <w:lvlText w:val="•"/>
      <w:lvlJc w:val="left"/>
      <w:pPr>
        <w:ind w:left="4278" w:hanging="423"/>
      </w:pPr>
      <w:rPr>
        <w:rFonts w:hint="default"/>
        <w:lang w:val="ru-RU" w:eastAsia="en-US" w:bidi="ar-SA"/>
      </w:rPr>
    </w:lvl>
    <w:lvl w:ilvl="5" w:tplc="917E2B26">
      <w:numFmt w:val="bullet"/>
      <w:lvlText w:val="•"/>
      <w:lvlJc w:val="left"/>
      <w:pPr>
        <w:ind w:left="5313" w:hanging="423"/>
      </w:pPr>
      <w:rPr>
        <w:rFonts w:hint="default"/>
        <w:lang w:val="ru-RU" w:eastAsia="en-US" w:bidi="ar-SA"/>
      </w:rPr>
    </w:lvl>
    <w:lvl w:ilvl="6" w:tplc="BC2EA302">
      <w:numFmt w:val="bullet"/>
      <w:lvlText w:val="•"/>
      <w:lvlJc w:val="left"/>
      <w:pPr>
        <w:ind w:left="6348" w:hanging="423"/>
      </w:pPr>
      <w:rPr>
        <w:rFonts w:hint="default"/>
        <w:lang w:val="ru-RU" w:eastAsia="en-US" w:bidi="ar-SA"/>
      </w:rPr>
    </w:lvl>
    <w:lvl w:ilvl="7" w:tplc="15A014A6">
      <w:numFmt w:val="bullet"/>
      <w:lvlText w:val="•"/>
      <w:lvlJc w:val="left"/>
      <w:pPr>
        <w:ind w:left="7382" w:hanging="423"/>
      </w:pPr>
      <w:rPr>
        <w:rFonts w:hint="default"/>
        <w:lang w:val="ru-RU" w:eastAsia="en-US" w:bidi="ar-SA"/>
      </w:rPr>
    </w:lvl>
    <w:lvl w:ilvl="8" w:tplc="9F88D4BA">
      <w:numFmt w:val="bullet"/>
      <w:lvlText w:val="•"/>
      <w:lvlJc w:val="left"/>
      <w:pPr>
        <w:ind w:left="8417" w:hanging="423"/>
      </w:pPr>
      <w:rPr>
        <w:rFonts w:hint="default"/>
        <w:lang w:val="ru-RU" w:eastAsia="en-US" w:bidi="ar-SA"/>
      </w:rPr>
    </w:lvl>
  </w:abstractNum>
  <w:abstractNum w:abstractNumId="4" w15:restartNumberingAfterBreak="0">
    <w:nsid w:val="09326B64"/>
    <w:multiLevelType w:val="hybridMultilevel"/>
    <w:tmpl w:val="4ADC4354"/>
    <w:lvl w:ilvl="0" w:tplc="26CCC676">
      <w:numFmt w:val="bullet"/>
      <w:lvlText w:val="-"/>
      <w:lvlJc w:val="left"/>
      <w:pPr>
        <w:ind w:left="432" w:hanging="360"/>
      </w:pPr>
      <w:rPr>
        <w:rFonts w:ascii="Times New Roman" w:eastAsia="Times New Roman" w:hAnsi="Times New Roman" w:cs="Times New Roman" w:hint="default"/>
      </w:rPr>
    </w:lvl>
    <w:lvl w:ilvl="1" w:tplc="20000003" w:tentative="1">
      <w:start w:val="1"/>
      <w:numFmt w:val="bullet"/>
      <w:lvlText w:val="o"/>
      <w:lvlJc w:val="left"/>
      <w:pPr>
        <w:ind w:left="1152" w:hanging="360"/>
      </w:pPr>
      <w:rPr>
        <w:rFonts w:ascii="Courier New" w:hAnsi="Courier New" w:cs="Courier New" w:hint="default"/>
      </w:rPr>
    </w:lvl>
    <w:lvl w:ilvl="2" w:tplc="20000005" w:tentative="1">
      <w:start w:val="1"/>
      <w:numFmt w:val="bullet"/>
      <w:lvlText w:val=""/>
      <w:lvlJc w:val="left"/>
      <w:pPr>
        <w:ind w:left="1872" w:hanging="360"/>
      </w:pPr>
      <w:rPr>
        <w:rFonts w:ascii="Wingdings" w:hAnsi="Wingdings" w:hint="default"/>
      </w:rPr>
    </w:lvl>
    <w:lvl w:ilvl="3" w:tplc="20000001" w:tentative="1">
      <w:start w:val="1"/>
      <w:numFmt w:val="bullet"/>
      <w:lvlText w:val=""/>
      <w:lvlJc w:val="left"/>
      <w:pPr>
        <w:ind w:left="2592" w:hanging="360"/>
      </w:pPr>
      <w:rPr>
        <w:rFonts w:ascii="Symbol" w:hAnsi="Symbol" w:hint="default"/>
      </w:rPr>
    </w:lvl>
    <w:lvl w:ilvl="4" w:tplc="20000003" w:tentative="1">
      <w:start w:val="1"/>
      <w:numFmt w:val="bullet"/>
      <w:lvlText w:val="o"/>
      <w:lvlJc w:val="left"/>
      <w:pPr>
        <w:ind w:left="3312" w:hanging="360"/>
      </w:pPr>
      <w:rPr>
        <w:rFonts w:ascii="Courier New" w:hAnsi="Courier New" w:cs="Courier New" w:hint="default"/>
      </w:rPr>
    </w:lvl>
    <w:lvl w:ilvl="5" w:tplc="20000005" w:tentative="1">
      <w:start w:val="1"/>
      <w:numFmt w:val="bullet"/>
      <w:lvlText w:val=""/>
      <w:lvlJc w:val="left"/>
      <w:pPr>
        <w:ind w:left="4032" w:hanging="360"/>
      </w:pPr>
      <w:rPr>
        <w:rFonts w:ascii="Wingdings" w:hAnsi="Wingdings" w:hint="default"/>
      </w:rPr>
    </w:lvl>
    <w:lvl w:ilvl="6" w:tplc="20000001" w:tentative="1">
      <w:start w:val="1"/>
      <w:numFmt w:val="bullet"/>
      <w:lvlText w:val=""/>
      <w:lvlJc w:val="left"/>
      <w:pPr>
        <w:ind w:left="4752" w:hanging="360"/>
      </w:pPr>
      <w:rPr>
        <w:rFonts w:ascii="Symbol" w:hAnsi="Symbol" w:hint="default"/>
      </w:rPr>
    </w:lvl>
    <w:lvl w:ilvl="7" w:tplc="20000003" w:tentative="1">
      <w:start w:val="1"/>
      <w:numFmt w:val="bullet"/>
      <w:lvlText w:val="o"/>
      <w:lvlJc w:val="left"/>
      <w:pPr>
        <w:ind w:left="5472" w:hanging="360"/>
      </w:pPr>
      <w:rPr>
        <w:rFonts w:ascii="Courier New" w:hAnsi="Courier New" w:cs="Courier New" w:hint="default"/>
      </w:rPr>
    </w:lvl>
    <w:lvl w:ilvl="8" w:tplc="20000005" w:tentative="1">
      <w:start w:val="1"/>
      <w:numFmt w:val="bullet"/>
      <w:lvlText w:val=""/>
      <w:lvlJc w:val="left"/>
      <w:pPr>
        <w:ind w:left="6192" w:hanging="360"/>
      </w:pPr>
      <w:rPr>
        <w:rFonts w:ascii="Wingdings" w:hAnsi="Wingdings" w:hint="default"/>
      </w:rPr>
    </w:lvl>
  </w:abstractNum>
  <w:abstractNum w:abstractNumId="5" w15:restartNumberingAfterBreak="0">
    <w:nsid w:val="1308414B"/>
    <w:multiLevelType w:val="hybridMultilevel"/>
    <w:tmpl w:val="3D9CD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C754D0"/>
    <w:multiLevelType w:val="hybridMultilevel"/>
    <w:tmpl w:val="C132358A"/>
    <w:lvl w:ilvl="0" w:tplc="89FAC7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A736D30"/>
    <w:multiLevelType w:val="hybridMultilevel"/>
    <w:tmpl w:val="51A827E0"/>
    <w:lvl w:ilvl="0" w:tplc="1576CCBA">
      <w:start w:val="1"/>
      <w:numFmt w:val="decimal"/>
      <w:lvlText w:val="%1."/>
      <w:lvlJc w:val="left"/>
      <w:pPr>
        <w:ind w:left="1068"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1" w:tplc="9C3AFCBE">
      <w:numFmt w:val="bullet"/>
      <w:lvlText w:val="•"/>
      <w:lvlJc w:val="left"/>
      <w:pPr>
        <w:ind w:left="2002" w:hanging="361"/>
      </w:pPr>
      <w:rPr>
        <w:rFonts w:hint="default"/>
        <w:lang w:val="ru-RU" w:eastAsia="en-US" w:bidi="ar-SA"/>
      </w:rPr>
    </w:lvl>
    <w:lvl w:ilvl="2" w:tplc="AF2EF11E">
      <w:numFmt w:val="bullet"/>
      <w:lvlText w:val="•"/>
      <w:lvlJc w:val="left"/>
      <w:pPr>
        <w:ind w:left="2945" w:hanging="361"/>
      </w:pPr>
      <w:rPr>
        <w:rFonts w:hint="default"/>
        <w:lang w:val="ru-RU" w:eastAsia="en-US" w:bidi="ar-SA"/>
      </w:rPr>
    </w:lvl>
    <w:lvl w:ilvl="3" w:tplc="A6C08EA4">
      <w:numFmt w:val="bullet"/>
      <w:lvlText w:val="•"/>
      <w:lvlJc w:val="left"/>
      <w:pPr>
        <w:ind w:left="3888" w:hanging="361"/>
      </w:pPr>
      <w:rPr>
        <w:rFonts w:hint="default"/>
        <w:lang w:val="ru-RU" w:eastAsia="en-US" w:bidi="ar-SA"/>
      </w:rPr>
    </w:lvl>
    <w:lvl w:ilvl="4" w:tplc="BFFA876C">
      <w:numFmt w:val="bullet"/>
      <w:lvlText w:val="•"/>
      <w:lvlJc w:val="left"/>
      <w:pPr>
        <w:ind w:left="4830" w:hanging="361"/>
      </w:pPr>
      <w:rPr>
        <w:rFonts w:hint="default"/>
        <w:lang w:val="ru-RU" w:eastAsia="en-US" w:bidi="ar-SA"/>
      </w:rPr>
    </w:lvl>
    <w:lvl w:ilvl="5" w:tplc="DE226CC8">
      <w:numFmt w:val="bullet"/>
      <w:lvlText w:val="•"/>
      <w:lvlJc w:val="left"/>
      <w:pPr>
        <w:ind w:left="5773" w:hanging="361"/>
      </w:pPr>
      <w:rPr>
        <w:rFonts w:hint="default"/>
        <w:lang w:val="ru-RU" w:eastAsia="en-US" w:bidi="ar-SA"/>
      </w:rPr>
    </w:lvl>
    <w:lvl w:ilvl="6" w:tplc="9C12CC2C">
      <w:numFmt w:val="bullet"/>
      <w:lvlText w:val="•"/>
      <w:lvlJc w:val="left"/>
      <w:pPr>
        <w:ind w:left="6716" w:hanging="361"/>
      </w:pPr>
      <w:rPr>
        <w:rFonts w:hint="default"/>
        <w:lang w:val="ru-RU" w:eastAsia="en-US" w:bidi="ar-SA"/>
      </w:rPr>
    </w:lvl>
    <w:lvl w:ilvl="7" w:tplc="540A84E2">
      <w:numFmt w:val="bullet"/>
      <w:lvlText w:val="•"/>
      <w:lvlJc w:val="left"/>
      <w:pPr>
        <w:ind w:left="7658" w:hanging="361"/>
      </w:pPr>
      <w:rPr>
        <w:rFonts w:hint="default"/>
        <w:lang w:val="ru-RU" w:eastAsia="en-US" w:bidi="ar-SA"/>
      </w:rPr>
    </w:lvl>
    <w:lvl w:ilvl="8" w:tplc="6616DEDE">
      <w:numFmt w:val="bullet"/>
      <w:lvlText w:val="•"/>
      <w:lvlJc w:val="left"/>
      <w:pPr>
        <w:ind w:left="8601" w:hanging="361"/>
      </w:pPr>
      <w:rPr>
        <w:rFonts w:hint="default"/>
        <w:lang w:val="ru-RU" w:eastAsia="en-US" w:bidi="ar-SA"/>
      </w:rPr>
    </w:lvl>
  </w:abstractNum>
  <w:abstractNum w:abstractNumId="8" w15:restartNumberingAfterBreak="0">
    <w:nsid w:val="1F511822"/>
    <w:multiLevelType w:val="hybridMultilevel"/>
    <w:tmpl w:val="0B90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550616"/>
    <w:multiLevelType w:val="hybridMultilevel"/>
    <w:tmpl w:val="343C2B44"/>
    <w:lvl w:ilvl="0" w:tplc="5AE68C3E">
      <w:start w:val="1"/>
      <w:numFmt w:val="decimal"/>
      <w:lvlText w:val="%1)"/>
      <w:lvlJc w:val="left"/>
      <w:pPr>
        <w:ind w:left="141" w:hanging="332"/>
      </w:pPr>
      <w:rPr>
        <w:rFonts w:ascii="Times New Roman" w:eastAsia="Times New Roman" w:hAnsi="Times New Roman" w:cs="Times New Roman" w:hint="default"/>
        <w:b w:val="0"/>
        <w:bCs w:val="0"/>
        <w:i w:val="0"/>
        <w:iCs w:val="0"/>
        <w:spacing w:val="0"/>
        <w:w w:val="99"/>
        <w:sz w:val="28"/>
        <w:szCs w:val="28"/>
        <w:lang w:val="ru-RU" w:eastAsia="en-US" w:bidi="ar-SA"/>
      </w:rPr>
    </w:lvl>
    <w:lvl w:ilvl="1" w:tplc="9B70B304">
      <w:numFmt w:val="bullet"/>
      <w:lvlText w:val="•"/>
      <w:lvlJc w:val="left"/>
      <w:pPr>
        <w:ind w:left="1174" w:hanging="332"/>
      </w:pPr>
      <w:rPr>
        <w:rFonts w:hint="default"/>
        <w:lang w:val="ru-RU" w:eastAsia="en-US" w:bidi="ar-SA"/>
      </w:rPr>
    </w:lvl>
    <w:lvl w:ilvl="2" w:tplc="167CF584">
      <w:numFmt w:val="bullet"/>
      <w:lvlText w:val="•"/>
      <w:lvlJc w:val="left"/>
      <w:pPr>
        <w:ind w:left="2209" w:hanging="332"/>
      </w:pPr>
      <w:rPr>
        <w:rFonts w:hint="default"/>
        <w:lang w:val="ru-RU" w:eastAsia="en-US" w:bidi="ar-SA"/>
      </w:rPr>
    </w:lvl>
    <w:lvl w:ilvl="3" w:tplc="4F3AD43C">
      <w:numFmt w:val="bullet"/>
      <w:lvlText w:val="•"/>
      <w:lvlJc w:val="left"/>
      <w:pPr>
        <w:ind w:left="3244" w:hanging="332"/>
      </w:pPr>
      <w:rPr>
        <w:rFonts w:hint="default"/>
        <w:lang w:val="ru-RU" w:eastAsia="en-US" w:bidi="ar-SA"/>
      </w:rPr>
    </w:lvl>
    <w:lvl w:ilvl="4" w:tplc="8F94CD40">
      <w:numFmt w:val="bullet"/>
      <w:lvlText w:val="•"/>
      <w:lvlJc w:val="left"/>
      <w:pPr>
        <w:ind w:left="4278" w:hanging="332"/>
      </w:pPr>
      <w:rPr>
        <w:rFonts w:hint="default"/>
        <w:lang w:val="ru-RU" w:eastAsia="en-US" w:bidi="ar-SA"/>
      </w:rPr>
    </w:lvl>
    <w:lvl w:ilvl="5" w:tplc="A4A82F78">
      <w:numFmt w:val="bullet"/>
      <w:lvlText w:val="•"/>
      <w:lvlJc w:val="left"/>
      <w:pPr>
        <w:ind w:left="5313" w:hanging="332"/>
      </w:pPr>
      <w:rPr>
        <w:rFonts w:hint="default"/>
        <w:lang w:val="ru-RU" w:eastAsia="en-US" w:bidi="ar-SA"/>
      </w:rPr>
    </w:lvl>
    <w:lvl w:ilvl="6" w:tplc="7CC64A04">
      <w:numFmt w:val="bullet"/>
      <w:lvlText w:val="•"/>
      <w:lvlJc w:val="left"/>
      <w:pPr>
        <w:ind w:left="6348" w:hanging="332"/>
      </w:pPr>
      <w:rPr>
        <w:rFonts w:hint="default"/>
        <w:lang w:val="ru-RU" w:eastAsia="en-US" w:bidi="ar-SA"/>
      </w:rPr>
    </w:lvl>
    <w:lvl w:ilvl="7" w:tplc="FC481756">
      <w:numFmt w:val="bullet"/>
      <w:lvlText w:val="•"/>
      <w:lvlJc w:val="left"/>
      <w:pPr>
        <w:ind w:left="7382" w:hanging="332"/>
      </w:pPr>
      <w:rPr>
        <w:rFonts w:hint="default"/>
        <w:lang w:val="ru-RU" w:eastAsia="en-US" w:bidi="ar-SA"/>
      </w:rPr>
    </w:lvl>
    <w:lvl w:ilvl="8" w:tplc="AB1E0AA6">
      <w:numFmt w:val="bullet"/>
      <w:lvlText w:val="•"/>
      <w:lvlJc w:val="left"/>
      <w:pPr>
        <w:ind w:left="8417" w:hanging="332"/>
      </w:pPr>
      <w:rPr>
        <w:rFonts w:hint="default"/>
        <w:lang w:val="ru-RU" w:eastAsia="en-US" w:bidi="ar-SA"/>
      </w:rPr>
    </w:lvl>
  </w:abstractNum>
  <w:abstractNum w:abstractNumId="10" w15:restartNumberingAfterBreak="0">
    <w:nsid w:val="2097686C"/>
    <w:multiLevelType w:val="hybridMultilevel"/>
    <w:tmpl w:val="AE06ACF0"/>
    <w:lvl w:ilvl="0" w:tplc="E5A6AB8A">
      <w:start w:val="1"/>
      <w:numFmt w:val="decimal"/>
      <w:lvlText w:val="%1."/>
      <w:lvlJc w:val="left"/>
      <w:pPr>
        <w:ind w:left="861" w:hanging="361"/>
      </w:pPr>
      <w:rPr>
        <w:rFonts w:ascii="Times New Roman" w:eastAsia="Times New Roman" w:hAnsi="Times New Roman" w:cs="Times New Roman" w:hint="default"/>
        <w:b w:val="0"/>
        <w:bCs w:val="0"/>
        <w:i w:val="0"/>
        <w:iCs w:val="0"/>
        <w:spacing w:val="0"/>
        <w:w w:val="96"/>
        <w:sz w:val="28"/>
        <w:szCs w:val="28"/>
        <w:lang w:val="ru-RU" w:eastAsia="en-US" w:bidi="ar-SA"/>
      </w:rPr>
    </w:lvl>
    <w:lvl w:ilvl="1" w:tplc="721E81B6">
      <w:numFmt w:val="bullet"/>
      <w:lvlText w:val="•"/>
      <w:lvlJc w:val="left"/>
      <w:pPr>
        <w:ind w:left="1822" w:hanging="361"/>
      </w:pPr>
      <w:rPr>
        <w:rFonts w:hint="default"/>
        <w:lang w:val="ru-RU" w:eastAsia="en-US" w:bidi="ar-SA"/>
      </w:rPr>
    </w:lvl>
    <w:lvl w:ilvl="2" w:tplc="ACE43584">
      <w:numFmt w:val="bullet"/>
      <w:lvlText w:val="•"/>
      <w:lvlJc w:val="left"/>
      <w:pPr>
        <w:ind w:left="2785" w:hanging="361"/>
      </w:pPr>
      <w:rPr>
        <w:rFonts w:hint="default"/>
        <w:lang w:val="ru-RU" w:eastAsia="en-US" w:bidi="ar-SA"/>
      </w:rPr>
    </w:lvl>
    <w:lvl w:ilvl="3" w:tplc="758887DA">
      <w:numFmt w:val="bullet"/>
      <w:lvlText w:val="•"/>
      <w:lvlJc w:val="left"/>
      <w:pPr>
        <w:ind w:left="3748" w:hanging="361"/>
      </w:pPr>
      <w:rPr>
        <w:rFonts w:hint="default"/>
        <w:lang w:val="ru-RU" w:eastAsia="en-US" w:bidi="ar-SA"/>
      </w:rPr>
    </w:lvl>
    <w:lvl w:ilvl="4" w:tplc="38743478">
      <w:numFmt w:val="bullet"/>
      <w:lvlText w:val="•"/>
      <w:lvlJc w:val="left"/>
      <w:pPr>
        <w:ind w:left="4710" w:hanging="361"/>
      </w:pPr>
      <w:rPr>
        <w:rFonts w:hint="default"/>
        <w:lang w:val="ru-RU" w:eastAsia="en-US" w:bidi="ar-SA"/>
      </w:rPr>
    </w:lvl>
    <w:lvl w:ilvl="5" w:tplc="683676B8">
      <w:numFmt w:val="bullet"/>
      <w:lvlText w:val="•"/>
      <w:lvlJc w:val="left"/>
      <w:pPr>
        <w:ind w:left="5673" w:hanging="361"/>
      </w:pPr>
      <w:rPr>
        <w:rFonts w:hint="default"/>
        <w:lang w:val="ru-RU" w:eastAsia="en-US" w:bidi="ar-SA"/>
      </w:rPr>
    </w:lvl>
    <w:lvl w:ilvl="6" w:tplc="04663A52">
      <w:numFmt w:val="bullet"/>
      <w:lvlText w:val="•"/>
      <w:lvlJc w:val="left"/>
      <w:pPr>
        <w:ind w:left="6636" w:hanging="361"/>
      </w:pPr>
      <w:rPr>
        <w:rFonts w:hint="default"/>
        <w:lang w:val="ru-RU" w:eastAsia="en-US" w:bidi="ar-SA"/>
      </w:rPr>
    </w:lvl>
    <w:lvl w:ilvl="7" w:tplc="EA904B20">
      <w:numFmt w:val="bullet"/>
      <w:lvlText w:val="•"/>
      <w:lvlJc w:val="left"/>
      <w:pPr>
        <w:ind w:left="7598" w:hanging="361"/>
      </w:pPr>
      <w:rPr>
        <w:rFonts w:hint="default"/>
        <w:lang w:val="ru-RU" w:eastAsia="en-US" w:bidi="ar-SA"/>
      </w:rPr>
    </w:lvl>
    <w:lvl w:ilvl="8" w:tplc="91B0AC6E">
      <w:numFmt w:val="bullet"/>
      <w:lvlText w:val="•"/>
      <w:lvlJc w:val="left"/>
      <w:pPr>
        <w:ind w:left="8561" w:hanging="361"/>
      </w:pPr>
      <w:rPr>
        <w:rFonts w:hint="default"/>
        <w:lang w:val="ru-RU" w:eastAsia="en-US" w:bidi="ar-SA"/>
      </w:rPr>
    </w:lvl>
  </w:abstractNum>
  <w:abstractNum w:abstractNumId="11" w15:restartNumberingAfterBreak="0">
    <w:nsid w:val="259D33E4"/>
    <w:multiLevelType w:val="hybridMultilevel"/>
    <w:tmpl w:val="BF5CDDE6"/>
    <w:lvl w:ilvl="0" w:tplc="43241690">
      <w:start w:val="1"/>
      <w:numFmt w:val="decimal"/>
      <w:lvlText w:val="%1)"/>
      <w:lvlJc w:val="left"/>
      <w:pPr>
        <w:ind w:left="141"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E91420C8">
      <w:numFmt w:val="bullet"/>
      <w:lvlText w:val="•"/>
      <w:lvlJc w:val="left"/>
      <w:pPr>
        <w:ind w:left="1174" w:hanging="303"/>
      </w:pPr>
      <w:rPr>
        <w:rFonts w:hint="default"/>
        <w:lang w:val="ru-RU" w:eastAsia="en-US" w:bidi="ar-SA"/>
      </w:rPr>
    </w:lvl>
    <w:lvl w:ilvl="2" w:tplc="E3445156">
      <w:numFmt w:val="bullet"/>
      <w:lvlText w:val="•"/>
      <w:lvlJc w:val="left"/>
      <w:pPr>
        <w:ind w:left="2209" w:hanging="303"/>
      </w:pPr>
      <w:rPr>
        <w:rFonts w:hint="default"/>
        <w:lang w:val="ru-RU" w:eastAsia="en-US" w:bidi="ar-SA"/>
      </w:rPr>
    </w:lvl>
    <w:lvl w:ilvl="3" w:tplc="AEB4DD40">
      <w:numFmt w:val="bullet"/>
      <w:lvlText w:val="•"/>
      <w:lvlJc w:val="left"/>
      <w:pPr>
        <w:ind w:left="3244" w:hanging="303"/>
      </w:pPr>
      <w:rPr>
        <w:rFonts w:hint="default"/>
        <w:lang w:val="ru-RU" w:eastAsia="en-US" w:bidi="ar-SA"/>
      </w:rPr>
    </w:lvl>
    <w:lvl w:ilvl="4" w:tplc="83D29192">
      <w:numFmt w:val="bullet"/>
      <w:lvlText w:val="•"/>
      <w:lvlJc w:val="left"/>
      <w:pPr>
        <w:ind w:left="4278" w:hanging="303"/>
      </w:pPr>
      <w:rPr>
        <w:rFonts w:hint="default"/>
        <w:lang w:val="ru-RU" w:eastAsia="en-US" w:bidi="ar-SA"/>
      </w:rPr>
    </w:lvl>
    <w:lvl w:ilvl="5" w:tplc="1116F816">
      <w:numFmt w:val="bullet"/>
      <w:lvlText w:val="•"/>
      <w:lvlJc w:val="left"/>
      <w:pPr>
        <w:ind w:left="5313" w:hanging="303"/>
      </w:pPr>
      <w:rPr>
        <w:rFonts w:hint="default"/>
        <w:lang w:val="ru-RU" w:eastAsia="en-US" w:bidi="ar-SA"/>
      </w:rPr>
    </w:lvl>
    <w:lvl w:ilvl="6" w:tplc="0E8A486A">
      <w:numFmt w:val="bullet"/>
      <w:lvlText w:val="•"/>
      <w:lvlJc w:val="left"/>
      <w:pPr>
        <w:ind w:left="6348" w:hanging="303"/>
      </w:pPr>
      <w:rPr>
        <w:rFonts w:hint="default"/>
        <w:lang w:val="ru-RU" w:eastAsia="en-US" w:bidi="ar-SA"/>
      </w:rPr>
    </w:lvl>
    <w:lvl w:ilvl="7" w:tplc="68760796">
      <w:numFmt w:val="bullet"/>
      <w:lvlText w:val="•"/>
      <w:lvlJc w:val="left"/>
      <w:pPr>
        <w:ind w:left="7382" w:hanging="303"/>
      </w:pPr>
      <w:rPr>
        <w:rFonts w:hint="default"/>
        <w:lang w:val="ru-RU" w:eastAsia="en-US" w:bidi="ar-SA"/>
      </w:rPr>
    </w:lvl>
    <w:lvl w:ilvl="8" w:tplc="5A12B612">
      <w:numFmt w:val="bullet"/>
      <w:lvlText w:val="•"/>
      <w:lvlJc w:val="left"/>
      <w:pPr>
        <w:ind w:left="8417" w:hanging="303"/>
      </w:pPr>
      <w:rPr>
        <w:rFonts w:hint="default"/>
        <w:lang w:val="ru-RU" w:eastAsia="en-US" w:bidi="ar-SA"/>
      </w:rPr>
    </w:lvl>
  </w:abstractNum>
  <w:abstractNum w:abstractNumId="12" w15:restartNumberingAfterBreak="0">
    <w:nsid w:val="29294609"/>
    <w:multiLevelType w:val="multilevel"/>
    <w:tmpl w:val="0B562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E523AA"/>
    <w:multiLevelType w:val="hybridMultilevel"/>
    <w:tmpl w:val="D55CB994"/>
    <w:lvl w:ilvl="0" w:tplc="113200C0">
      <w:numFmt w:val="bullet"/>
      <w:lvlText w:val="–"/>
      <w:lvlJc w:val="left"/>
      <w:pPr>
        <w:ind w:left="919" w:hanging="212"/>
      </w:pPr>
      <w:rPr>
        <w:rFonts w:ascii="Times New Roman" w:eastAsia="Times New Roman" w:hAnsi="Times New Roman" w:cs="Times New Roman" w:hint="default"/>
        <w:b w:val="0"/>
        <w:bCs w:val="0"/>
        <w:i w:val="0"/>
        <w:iCs w:val="0"/>
        <w:spacing w:val="0"/>
        <w:w w:val="99"/>
        <w:sz w:val="28"/>
        <w:szCs w:val="28"/>
        <w:lang w:val="ru-RU" w:eastAsia="en-US" w:bidi="ar-SA"/>
      </w:rPr>
    </w:lvl>
    <w:lvl w:ilvl="1" w:tplc="1898082E">
      <w:numFmt w:val="bullet"/>
      <w:lvlText w:val="•"/>
      <w:lvlJc w:val="left"/>
      <w:pPr>
        <w:ind w:left="1876" w:hanging="212"/>
      </w:pPr>
      <w:rPr>
        <w:rFonts w:hint="default"/>
        <w:lang w:val="ru-RU" w:eastAsia="en-US" w:bidi="ar-SA"/>
      </w:rPr>
    </w:lvl>
    <w:lvl w:ilvl="2" w:tplc="411C50EE">
      <w:numFmt w:val="bullet"/>
      <w:lvlText w:val="•"/>
      <w:lvlJc w:val="left"/>
      <w:pPr>
        <w:ind w:left="2833" w:hanging="212"/>
      </w:pPr>
      <w:rPr>
        <w:rFonts w:hint="default"/>
        <w:lang w:val="ru-RU" w:eastAsia="en-US" w:bidi="ar-SA"/>
      </w:rPr>
    </w:lvl>
    <w:lvl w:ilvl="3" w:tplc="4DC288FC">
      <w:numFmt w:val="bullet"/>
      <w:lvlText w:val="•"/>
      <w:lvlJc w:val="left"/>
      <w:pPr>
        <w:ind w:left="3790" w:hanging="212"/>
      </w:pPr>
      <w:rPr>
        <w:rFonts w:hint="default"/>
        <w:lang w:val="ru-RU" w:eastAsia="en-US" w:bidi="ar-SA"/>
      </w:rPr>
    </w:lvl>
    <w:lvl w:ilvl="4" w:tplc="C04257B0">
      <w:numFmt w:val="bullet"/>
      <w:lvlText w:val="•"/>
      <w:lvlJc w:val="left"/>
      <w:pPr>
        <w:ind w:left="4746" w:hanging="212"/>
      </w:pPr>
      <w:rPr>
        <w:rFonts w:hint="default"/>
        <w:lang w:val="ru-RU" w:eastAsia="en-US" w:bidi="ar-SA"/>
      </w:rPr>
    </w:lvl>
    <w:lvl w:ilvl="5" w:tplc="4C92FB4E">
      <w:numFmt w:val="bullet"/>
      <w:lvlText w:val="•"/>
      <w:lvlJc w:val="left"/>
      <w:pPr>
        <w:ind w:left="5703" w:hanging="212"/>
      </w:pPr>
      <w:rPr>
        <w:rFonts w:hint="default"/>
        <w:lang w:val="ru-RU" w:eastAsia="en-US" w:bidi="ar-SA"/>
      </w:rPr>
    </w:lvl>
    <w:lvl w:ilvl="6" w:tplc="986262A0">
      <w:numFmt w:val="bullet"/>
      <w:lvlText w:val="•"/>
      <w:lvlJc w:val="left"/>
      <w:pPr>
        <w:ind w:left="6660" w:hanging="212"/>
      </w:pPr>
      <w:rPr>
        <w:rFonts w:hint="default"/>
        <w:lang w:val="ru-RU" w:eastAsia="en-US" w:bidi="ar-SA"/>
      </w:rPr>
    </w:lvl>
    <w:lvl w:ilvl="7" w:tplc="F2E0FBB6">
      <w:numFmt w:val="bullet"/>
      <w:lvlText w:val="•"/>
      <w:lvlJc w:val="left"/>
      <w:pPr>
        <w:ind w:left="7616" w:hanging="212"/>
      </w:pPr>
      <w:rPr>
        <w:rFonts w:hint="default"/>
        <w:lang w:val="ru-RU" w:eastAsia="en-US" w:bidi="ar-SA"/>
      </w:rPr>
    </w:lvl>
    <w:lvl w:ilvl="8" w:tplc="085E763C">
      <w:numFmt w:val="bullet"/>
      <w:lvlText w:val="•"/>
      <w:lvlJc w:val="left"/>
      <w:pPr>
        <w:ind w:left="8573" w:hanging="212"/>
      </w:pPr>
      <w:rPr>
        <w:rFonts w:hint="default"/>
        <w:lang w:val="ru-RU" w:eastAsia="en-US" w:bidi="ar-SA"/>
      </w:rPr>
    </w:lvl>
  </w:abstractNum>
  <w:abstractNum w:abstractNumId="14" w15:restartNumberingAfterBreak="0">
    <w:nsid w:val="38696075"/>
    <w:multiLevelType w:val="hybridMultilevel"/>
    <w:tmpl w:val="83B0692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C3756E4"/>
    <w:multiLevelType w:val="hybridMultilevel"/>
    <w:tmpl w:val="43C0ABC4"/>
    <w:lvl w:ilvl="0" w:tplc="F32CA686">
      <w:start w:val="1"/>
      <w:numFmt w:val="decimal"/>
      <w:lvlText w:val="%1"/>
      <w:lvlJc w:val="left"/>
      <w:pPr>
        <w:ind w:left="141" w:hanging="274"/>
      </w:pPr>
      <w:rPr>
        <w:rFonts w:ascii="Times New Roman" w:eastAsia="Times New Roman" w:hAnsi="Times New Roman" w:cs="Times New Roman" w:hint="default"/>
        <w:b w:val="0"/>
        <w:bCs w:val="0"/>
        <w:i w:val="0"/>
        <w:iCs w:val="0"/>
        <w:spacing w:val="0"/>
        <w:w w:val="99"/>
        <w:sz w:val="28"/>
        <w:szCs w:val="28"/>
        <w:lang w:val="ru-RU" w:eastAsia="en-US" w:bidi="ar-SA"/>
      </w:rPr>
    </w:lvl>
    <w:lvl w:ilvl="1" w:tplc="EF9A9282">
      <w:start w:val="1"/>
      <w:numFmt w:val="decimal"/>
      <w:lvlText w:val="%2."/>
      <w:lvlJc w:val="left"/>
      <w:pPr>
        <w:ind w:left="861" w:hanging="361"/>
      </w:pPr>
      <w:rPr>
        <w:rFonts w:ascii="Times New Roman" w:eastAsia="Times New Roman" w:hAnsi="Times New Roman" w:cs="Times New Roman" w:hint="default"/>
        <w:b w:val="0"/>
        <w:bCs w:val="0"/>
        <w:i w:val="0"/>
        <w:iCs w:val="0"/>
        <w:spacing w:val="0"/>
        <w:w w:val="99"/>
        <w:sz w:val="28"/>
        <w:szCs w:val="28"/>
        <w:lang w:val="ru-RU" w:eastAsia="en-US" w:bidi="ar-SA"/>
      </w:rPr>
    </w:lvl>
    <w:lvl w:ilvl="2" w:tplc="2D36E6EC">
      <w:numFmt w:val="bullet"/>
      <w:lvlText w:val="•"/>
      <w:lvlJc w:val="left"/>
      <w:pPr>
        <w:ind w:left="1929" w:hanging="361"/>
      </w:pPr>
      <w:rPr>
        <w:rFonts w:hint="default"/>
        <w:lang w:val="ru-RU" w:eastAsia="en-US" w:bidi="ar-SA"/>
      </w:rPr>
    </w:lvl>
    <w:lvl w:ilvl="3" w:tplc="883CD1F6">
      <w:numFmt w:val="bullet"/>
      <w:lvlText w:val="•"/>
      <w:lvlJc w:val="left"/>
      <w:pPr>
        <w:ind w:left="2999" w:hanging="361"/>
      </w:pPr>
      <w:rPr>
        <w:rFonts w:hint="default"/>
        <w:lang w:val="ru-RU" w:eastAsia="en-US" w:bidi="ar-SA"/>
      </w:rPr>
    </w:lvl>
    <w:lvl w:ilvl="4" w:tplc="758E6596">
      <w:numFmt w:val="bullet"/>
      <w:lvlText w:val="•"/>
      <w:lvlJc w:val="left"/>
      <w:pPr>
        <w:ind w:left="4069" w:hanging="361"/>
      </w:pPr>
      <w:rPr>
        <w:rFonts w:hint="default"/>
        <w:lang w:val="ru-RU" w:eastAsia="en-US" w:bidi="ar-SA"/>
      </w:rPr>
    </w:lvl>
    <w:lvl w:ilvl="5" w:tplc="95DA6A16">
      <w:numFmt w:val="bullet"/>
      <w:lvlText w:val="•"/>
      <w:lvlJc w:val="left"/>
      <w:pPr>
        <w:ind w:left="5138" w:hanging="361"/>
      </w:pPr>
      <w:rPr>
        <w:rFonts w:hint="default"/>
        <w:lang w:val="ru-RU" w:eastAsia="en-US" w:bidi="ar-SA"/>
      </w:rPr>
    </w:lvl>
    <w:lvl w:ilvl="6" w:tplc="3B5C8360">
      <w:numFmt w:val="bullet"/>
      <w:lvlText w:val="•"/>
      <w:lvlJc w:val="left"/>
      <w:pPr>
        <w:ind w:left="6208" w:hanging="361"/>
      </w:pPr>
      <w:rPr>
        <w:rFonts w:hint="default"/>
        <w:lang w:val="ru-RU" w:eastAsia="en-US" w:bidi="ar-SA"/>
      </w:rPr>
    </w:lvl>
    <w:lvl w:ilvl="7" w:tplc="6F7C6B10">
      <w:numFmt w:val="bullet"/>
      <w:lvlText w:val="•"/>
      <w:lvlJc w:val="left"/>
      <w:pPr>
        <w:ind w:left="7278" w:hanging="361"/>
      </w:pPr>
      <w:rPr>
        <w:rFonts w:hint="default"/>
        <w:lang w:val="ru-RU" w:eastAsia="en-US" w:bidi="ar-SA"/>
      </w:rPr>
    </w:lvl>
    <w:lvl w:ilvl="8" w:tplc="E5AC7D2A">
      <w:numFmt w:val="bullet"/>
      <w:lvlText w:val="•"/>
      <w:lvlJc w:val="left"/>
      <w:pPr>
        <w:ind w:left="8347" w:hanging="361"/>
      </w:pPr>
      <w:rPr>
        <w:rFonts w:hint="default"/>
        <w:lang w:val="ru-RU" w:eastAsia="en-US" w:bidi="ar-SA"/>
      </w:rPr>
    </w:lvl>
  </w:abstractNum>
  <w:abstractNum w:abstractNumId="16" w15:restartNumberingAfterBreak="0">
    <w:nsid w:val="3C4A24BC"/>
    <w:multiLevelType w:val="hybridMultilevel"/>
    <w:tmpl w:val="D6C84CCE"/>
    <w:lvl w:ilvl="0" w:tplc="0540D0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D912B4E"/>
    <w:multiLevelType w:val="hybridMultilevel"/>
    <w:tmpl w:val="2856BD3A"/>
    <w:lvl w:ilvl="0" w:tplc="FB14D7D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373C18"/>
    <w:multiLevelType w:val="hybridMultilevel"/>
    <w:tmpl w:val="0B147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451800"/>
    <w:multiLevelType w:val="hybridMultilevel"/>
    <w:tmpl w:val="674C265C"/>
    <w:lvl w:ilvl="0" w:tplc="3970EDDA">
      <w:start w:val="1"/>
      <w:numFmt w:val="decimal"/>
      <w:lvlText w:val="%1."/>
      <w:lvlJc w:val="left"/>
      <w:pPr>
        <w:ind w:left="1149" w:hanging="36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20" w15:restartNumberingAfterBreak="0">
    <w:nsid w:val="4C052A67"/>
    <w:multiLevelType w:val="hybridMultilevel"/>
    <w:tmpl w:val="D7FECBDC"/>
    <w:lvl w:ilvl="0" w:tplc="668EB6E0">
      <w:numFmt w:val="bullet"/>
      <w:lvlText w:val="-"/>
      <w:lvlJc w:val="left"/>
      <w:pPr>
        <w:ind w:left="141" w:hanging="174"/>
      </w:pPr>
      <w:rPr>
        <w:rFonts w:ascii="Times New Roman" w:eastAsia="Times New Roman" w:hAnsi="Times New Roman" w:cs="Times New Roman" w:hint="default"/>
        <w:b w:val="0"/>
        <w:bCs w:val="0"/>
        <w:i w:val="0"/>
        <w:iCs w:val="0"/>
        <w:spacing w:val="0"/>
        <w:w w:val="99"/>
        <w:sz w:val="28"/>
        <w:szCs w:val="28"/>
        <w:lang w:val="ru-RU" w:eastAsia="en-US" w:bidi="ar-SA"/>
      </w:rPr>
    </w:lvl>
    <w:lvl w:ilvl="1" w:tplc="5D02851E">
      <w:numFmt w:val="bullet"/>
      <w:lvlText w:val="•"/>
      <w:lvlJc w:val="left"/>
      <w:pPr>
        <w:ind w:left="1174" w:hanging="174"/>
      </w:pPr>
      <w:rPr>
        <w:rFonts w:hint="default"/>
        <w:lang w:val="ru-RU" w:eastAsia="en-US" w:bidi="ar-SA"/>
      </w:rPr>
    </w:lvl>
    <w:lvl w:ilvl="2" w:tplc="46E29992">
      <w:numFmt w:val="bullet"/>
      <w:lvlText w:val="•"/>
      <w:lvlJc w:val="left"/>
      <w:pPr>
        <w:ind w:left="2209" w:hanging="174"/>
      </w:pPr>
      <w:rPr>
        <w:rFonts w:hint="default"/>
        <w:lang w:val="ru-RU" w:eastAsia="en-US" w:bidi="ar-SA"/>
      </w:rPr>
    </w:lvl>
    <w:lvl w:ilvl="3" w:tplc="E188CE14">
      <w:numFmt w:val="bullet"/>
      <w:lvlText w:val="•"/>
      <w:lvlJc w:val="left"/>
      <w:pPr>
        <w:ind w:left="3244" w:hanging="174"/>
      </w:pPr>
      <w:rPr>
        <w:rFonts w:hint="default"/>
        <w:lang w:val="ru-RU" w:eastAsia="en-US" w:bidi="ar-SA"/>
      </w:rPr>
    </w:lvl>
    <w:lvl w:ilvl="4" w:tplc="65969AC2">
      <w:numFmt w:val="bullet"/>
      <w:lvlText w:val="•"/>
      <w:lvlJc w:val="left"/>
      <w:pPr>
        <w:ind w:left="4278" w:hanging="174"/>
      </w:pPr>
      <w:rPr>
        <w:rFonts w:hint="default"/>
        <w:lang w:val="ru-RU" w:eastAsia="en-US" w:bidi="ar-SA"/>
      </w:rPr>
    </w:lvl>
    <w:lvl w:ilvl="5" w:tplc="89D2B466">
      <w:numFmt w:val="bullet"/>
      <w:lvlText w:val="•"/>
      <w:lvlJc w:val="left"/>
      <w:pPr>
        <w:ind w:left="5313" w:hanging="174"/>
      </w:pPr>
      <w:rPr>
        <w:rFonts w:hint="default"/>
        <w:lang w:val="ru-RU" w:eastAsia="en-US" w:bidi="ar-SA"/>
      </w:rPr>
    </w:lvl>
    <w:lvl w:ilvl="6" w:tplc="6032C782">
      <w:numFmt w:val="bullet"/>
      <w:lvlText w:val="•"/>
      <w:lvlJc w:val="left"/>
      <w:pPr>
        <w:ind w:left="6348" w:hanging="174"/>
      </w:pPr>
      <w:rPr>
        <w:rFonts w:hint="default"/>
        <w:lang w:val="ru-RU" w:eastAsia="en-US" w:bidi="ar-SA"/>
      </w:rPr>
    </w:lvl>
    <w:lvl w:ilvl="7" w:tplc="41C22886">
      <w:numFmt w:val="bullet"/>
      <w:lvlText w:val="•"/>
      <w:lvlJc w:val="left"/>
      <w:pPr>
        <w:ind w:left="7382" w:hanging="174"/>
      </w:pPr>
      <w:rPr>
        <w:rFonts w:hint="default"/>
        <w:lang w:val="ru-RU" w:eastAsia="en-US" w:bidi="ar-SA"/>
      </w:rPr>
    </w:lvl>
    <w:lvl w:ilvl="8" w:tplc="1AA0BA9A">
      <w:numFmt w:val="bullet"/>
      <w:lvlText w:val="•"/>
      <w:lvlJc w:val="left"/>
      <w:pPr>
        <w:ind w:left="8417" w:hanging="174"/>
      </w:pPr>
      <w:rPr>
        <w:rFonts w:hint="default"/>
        <w:lang w:val="ru-RU" w:eastAsia="en-US" w:bidi="ar-SA"/>
      </w:rPr>
    </w:lvl>
  </w:abstractNum>
  <w:abstractNum w:abstractNumId="21" w15:restartNumberingAfterBreak="0">
    <w:nsid w:val="539A0A32"/>
    <w:multiLevelType w:val="hybridMultilevel"/>
    <w:tmpl w:val="C57E2DE2"/>
    <w:lvl w:ilvl="0" w:tplc="041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F7C72B8"/>
    <w:multiLevelType w:val="hybridMultilevel"/>
    <w:tmpl w:val="6B528174"/>
    <w:lvl w:ilvl="0" w:tplc="A218F1D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CB52339"/>
    <w:multiLevelType w:val="hybridMultilevel"/>
    <w:tmpl w:val="08DA0F24"/>
    <w:lvl w:ilvl="0" w:tplc="12BAB1E2">
      <w:start w:val="1"/>
      <w:numFmt w:val="decimal"/>
      <w:lvlText w:val="%1)"/>
      <w:lvlJc w:val="left"/>
      <w:pPr>
        <w:ind w:left="141"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A8126B44">
      <w:numFmt w:val="bullet"/>
      <w:lvlText w:val="•"/>
      <w:lvlJc w:val="left"/>
      <w:pPr>
        <w:ind w:left="1174" w:hanging="303"/>
      </w:pPr>
      <w:rPr>
        <w:rFonts w:hint="default"/>
        <w:lang w:val="ru-RU" w:eastAsia="en-US" w:bidi="ar-SA"/>
      </w:rPr>
    </w:lvl>
    <w:lvl w:ilvl="2" w:tplc="AD6EBF8C">
      <w:numFmt w:val="bullet"/>
      <w:lvlText w:val="•"/>
      <w:lvlJc w:val="left"/>
      <w:pPr>
        <w:ind w:left="2209" w:hanging="303"/>
      </w:pPr>
      <w:rPr>
        <w:rFonts w:hint="default"/>
        <w:lang w:val="ru-RU" w:eastAsia="en-US" w:bidi="ar-SA"/>
      </w:rPr>
    </w:lvl>
    <w:lvl w:ilvl="3" w:tplc="0D306F1C">
      <w:numFmt w:val="bullet"/>
      <w:lvlText w:val="•"/>
      <w:lvlJc w:val="left"/>
      <w:pPr>
        <w:ind w:left="3244" w:hanging="303"/>
      </w:pPr>
      <w:rPr>
        <w:rFonts w:hint="default"/>
        <w:lang w:val="ru-RU" w:eastAsia="en-US" w:bidi="ar-SA"/>
      </w:rPr>
    </w:lvl>
    <w:lvl w:ilvl="4" w:tplc="0DD29146">
      <w:numFmt w:val="bullet"/>
      <w:lvlText w:val="•"/>
      <w:lvlJc w:val="left"/>
      <w:pPr>
        <w:ind w:left="4278" w:hanging="303"/>
      </w:pPr>
      <w:rPr>
        <w:rFonts w:hint="default"/>
        <w:lang w:val="ru-RU" w:eastAsia="en-US" w:bidi="ar-SA"/>
      </w:rPr>
    </w:lvl>
    <w:lvl w:ilvl="5" w:tplc="B164FAC6">
      <w:numFmt w:val="bullet"/>
      <w:lvlText w:val="•"/>
      <w:lvlJc w:val="left"/>
      <w:pPr>
        <w:ind w:left="5313" w:hanging="303"/>
      </w:pPr>
      <w:rPr>
        <w:rFonts w:hint="default"/>
        <w:lang w:val="ru-RU" w:eastAsia="en-US" w:bidi="ar-SA"/>
      </w:rPr>
    </w:lvl>
    <w:lvl w:ilvl="6" w:tplc="3D16029A">
      <w:numFmt w:val="bullet"/>
      <w:lvlText w:val="•"/>
      <w:lvlJc w:val="left"/>
      <w:pPr>
        <w:ind w:left="6348" w:hanging="303"/>
      </w:pPr>
      <w:rPr>
        <w:rFonts w:hint="default"/>
        <w:lang w:val="ru-RU" w:eastAsia="en-US" w:bidi="ar-SA"/>
      </w:rPr>
    </w:lvl>
    <w:lvl w:ilvl="7" w:tplc="17E6324A">
      <w:numFmt w:val="bullet"/>
      <w:lvlText w:val="•"/>
      <w:lvlJc w:val="left"/>
      <w:pPr>
        <w:ind w:left="7382" w:hanging="303"/>
      </w:pPr>
      <w:rPr>
        <w:rFonts w:hint="default"/>
        <w:lang w:val="ru-RU" w:eastAsia="en-US" w:bidi="ar-SA"/>
      </w:rPr>
    </w:lvl>
    <w:lvl w:ilvl="8" w:tplc="B42221EE">
      <w:numFmt w:val="bullet"/>
      <w:lvlText w:val="•"/>
      <w:lvlJc w:val="left"/>
      <w:pPr>
        <w:ind w:left="8417" w:hanging="303"/>
      </w:pPr>
      <w:rPr>
        <w:rFonts w:hint="default"/>
        <w:lang w:val="ru-RU" w:eastAsia="en-US" w:bidi="ar-SA"/>
      </w:rPr>
    </w:lvl>
  </w:abstractNum>
  <w:abstractNum w:abstractNumId="24" w15:restartNumberingAfterBreak="0">
    <w:nsid w:val="728531CE"/>
    <w:multiLevelType w:val="hybridMultilevel"/>
    <w:tmpl w:val="D7743520"/>
    <w:lvl w:ilvl="0" w:tplc="C5F873AA">
      <w:start w:val="1"/>
      <w:numFmt w:val="decimal"/>
      <w:lvlText w:val="%1"/>
      <w:lvlJc w:val="left"/>
      <w:pPr>
        <w:ind w:left="219" w:hanging="360"/>
      </w:pPr>
      <w:rPr>
        <w:rFonts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num w:numId="1" w16cid:durableId="76249270">
    <w:abstractNumId w:val="11"/>
  </w:num>
  <w:num w:numId="2" w16cid:durableId="320739730">
    <w:abstractNumId w:val="10"/>
  </w:num>
  <w:num w:numId="3" w16cid:durableId="1775206206">
    <w:abstractNumId w:val="13"/>
  </w:num>
  <w:num w:numId="4" w16cid:durableId="2085443616">
    <w:abstractNumId w:val="15"/>
  </w:num>
  <w:num w:numId="5" w16cid:durableId="468400362">
    <w:abstractNumId w:val="7"/>
  </w:num>
  <w:num w:numId="6" w16cid:durableId="524292493">
    <w:abstractNumId w:val="20"/>
  </w:num>
  <w:num w:numId="7" w16cid:durableId="226380059">
    <w:abstractNumId w:val="9"/>
  </w:num>
  <w:num w:numId="8" w16cid:durableId="423845885">
    <w:abstractNumId w:val="23"/>
  </w:num>
  <w:num w:numId="9" w16cid:durableId="281620475">
    <w:abstractNumId w:val="3"/>
  </w:num>
  <w:num w:numId="10" w16cid:durableId="991641355">
    <w:abstractNumId w:val="5"/>
  </w:num>
  <w:num w:numId="11" w16cid:durableId="540168362">
    <w:abstractNumId w:val="6"/>
  </w:num>
  <w:num w:numId="12" w16cid:durableId="649559324">
    <w:abstractNumId w:val="1"/>
  </w:num>
  <w:num w:numId="13" w16cid:durableId="2087023074">
    <w:abstractNumId w:val="21"/>
  </w:num>
  <w:num w:numId="14" w16cid:durableId="413161664">
    <w:abstractNumId w:val="19"/>
  </w:num>
  <w:num w:numId="15" w16cid:durableId="960261146">
    <w:abstractNumId w:val="24"/>
  </w:num>
  <w:num w:numId="16" w16cid:durableId="2087217171">
    <w:abstractNumId w:val="22"/>
  </w:num>
  <w:num w:numId="17" w16cid:durableId="273100908">
    <w:abstractNumId w:val="16"/>
  </w:num>
  <w:num w:numId="18" w16cid:durableId="817107927">
    <w:abstractNumId w:val="17"/>
  </w:num>
  <w:num w:numId="19" w16cid:durableId="636883493">
    <w:abstractNumId w:val="18"/>
  </w:num>
  <w:num w:numId="20" w16cid:durableId="430711580">
    <w:abstractNumId w:val="0"/>
  </w:num>
  <w:num w:numId="21" w16cid:durableId="940142098">
    <w:abstractNumId w:val="8"/>
  </w:num>
  <w:num w:numId="22" w16cid:durableId="174343430">
    <w:abstractNumId w:val="14"/>
  </w:num>
  <w:num w:numId="23" w16cid:durableId="1873957457">
    <w:abstractNumId w:val="2"/>
  </w:num>
  <w:num w:numId="24" w16cid:durableId="557976750">
    <w:abstractNumId w:val="12"/>
  </w:num>
  <w:num w:numId="25" w16cid:durableId="2133596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59"/>
    <w:rsid w:val="000279C7"/>
    <w:rsid w:val="000C2759"/>
    <w:rsid w:val="00151A54"/>
    <w:rsid w:val="00177AA7"/>
    <w:rsid w:val="00195C9B"/>
    <w:rsid w:val="001D0BEC"/>
    <w:rsid w:val="001D2C0A"/>
    <w:rsid w:val="001D3570"/>
    <w:rsid w:val="001E6380"/>
    <w:rsid w:val="00261139"/>
    <w:rsid w:val="00267AE7"/>
    <w:rsid w:val="00324344"/>
    <w:rsid w:val="00331D47"/>
    <w:rsid w:val="00366BC7"/>
    <w:rsid w:val="00382839"/>
    <w:rsid w:val="00393D56"/>
    <w:rsid w:val="003C6A0E"/>
    <w:rsid w:val="003E1E4E"/>
    <w:rsid w:val="00416370"/>
    <w:rsid w:val="00456950"/>
    <w:rsid w:val="0048430C"/>
    <w:rsid w:val="004A26F7"/>
    <w:rsid w:val="004B2B5C"/>
    <w:rsid w:val="004C2F20"/>
    <w:rsid w:val="004D122C"/>
    <w:rsid w:val="004E7F28"/>
    <w:rsid w:val="00511156"/>
    <w:rsid w:val="00520A48"/>
    <w:rsid w:val="005267E2"/>
    <w:rsid w:val="00540A0F"/>
    <w:rsid w:val="00575212"/>
    <w:rsid w:val="005A0376"/>
    <w:rsid w:val="005D5E34"/>
    <w:rsid w:val="00601E4F"/>
    <w:rsid w:val="006E13BD"/>
    <w:rsid w:val="007B385A"/>
    <w:rsid w:val="007D2143"/>
    <w:rsid w:val="008646B2"/>
    <w:rsid w:val="00952EA0"/>
    <w:rsid w:val="00975716"/>
    <w:rsid w:val="009A7F81"/>
    <w:rsid w:val="009B6D2D"/>
    <w:rsid w:val="009C2257"/>
    <w:rsid w:val="009C41FA"/>
    <w:rsid w:val="009E2FC6"/>
    <w:rsid w:val="00A40587"/>
    <w:rsid w:val="00A51BBB"/>
    <w:rsid w:val="00A54905"/>
    <w:rsid w:val="00AD58DD"/>
    <w:rsid w:val="00AE2B82"/>
    <w:rsid w:val="00B26D9C"/>
    <w:rsid w:val="00B90F53"/>
    <w:rsid w:val="00B92596"/>
    <w:rsid w:val="00C13B4F"/>
    <w:rsid w:val="00C159FD"/>
    <w:rsid w:val="00C15E64"/>
    <w:rsid w:val="00C964EA"/>
    <w:rsid w:val="00CA59DB"/>
    <w:rsid w:val="00CE7122"/>
    <w:rsid w:val="00CF085E"/>
    <w:rsid w:val="00CF41B7"/>
    <w:rsid w:val="00CF79D6"/>
    <w:rsid w:val="00D21182"/>
    <w:rsid w:val="00D96E93"/>
    <w:rsid w:val="00E942F4"/>
    <w:rsid w:val="00ED065B"/>
    <w:rsid w:val="00ED249C"/>
    <w:rsid w:val="00EF23B0"/>
    <w:rsid w:val="00F2030B"/>
    <w:rsid w:val="00F334A2"/>
    <w:rsid w:val="00F55C1D"/>
    <w:rsid w:val="00F919FD"/>
    <w:rsid w:val="00FB0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3DBF"/>
  <w15:docId w15:val="{D55F1CD2-59D6-CB45-9DFE-9476B82A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707"/>
      <w:jc w:val="both"/>
      <w:outlineLvl w:val="0"/>
    </w:pPr>
    <w:rPr>
      <w:b/>
      <w:bCs/>
      <w:sz w:val="28"/>
      <w:szCs w:val="28"/>
    </w:rPr>
  </w:style>
  <w:style w:type="paragraph" w:styleId="2">
    <w:name w:val="heading 2"/>
    <w:basedOn w:val="a"/>
    <w:next w:val="a"/>
    <w:link w:val="20"/>
    <w:uiPriority w:val="9"/>
    <w:semiHidden/>
    <w:unhideWhenUsed/>
    <w:qFormat/>
    <w:rsid w:val="000279C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66"/>
      <w:jc w:val="both"/>
    </w:pPr>
    <w:rPr>
      <w:sz w:val="28"/>
      <w:szCs w:val="28"/>
    </w:rPr>
  </w:style>
  <w:style w:type="paragraph" w:styleId="a4">
    <w:name w:val="List Paragraph"/>
    <w:basedOn w:val="a"/>
    <w:link w:val="a5"/>
    <w:uiPriority w:val="34"/>
    <w:qFormat/>
    <w:pPr>
      <w:ind w:left="141" w:hanging="361"/>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334A2"/>
    <w:rPr>
      <w:rFonts w:ascii="Tahoma" w:hAnsi="Tahoma" w:cs="Tahoma"/>
      <w:sz w:val="16"/>
      <w:szCs w:val="16"/>
    </w:rPr>
  </w:style>
  <w:style w:type="character" w:customStyle="1" w:styleId="a7">
    <w:name w:val="Текст выноски Знак"/>
    <w:basedOn w:val="a0"/>
    <w:link w:val="a6"/>
    <w:uiPriority w:val="99"/>
    <w:semiHidden/>
    <w:rsid w:val="00F334A2"/>
    <w:rPr>
      <w:rFonts w:ascii="Tahoma" w:eastAsia="Times New Roman" w:hAnsi="Tahoma" w:cs="Tahoma"/>
      <w:sz w:val="16"/>
      <w:szCs w:val="16"/>
      <w:lang w:val="ru-RU"/>
    </w:rPr>
  </w:style>
  <w:style w:type="paragraph" w:customStyle="1" w:styleId="CitaviBibliographyEntry">
    <w:name w:val="Citavi Bibliography Entry"/>
    <w:basedOn w:val="a"/>
    <w:link w:val="CitaviBibliographyEntry0"/>
    <w:rsid w:val="004A26F7"/>
    <w:pPr>
      <w:widowControl/>
      <w:tabs>
        <w:tab w:val="left" w:pos="454"/>
      </w:tabs>
      <w:autoSpaceDE/>
      <w:autoSpaceDN/>
      <w:spacing w:before="120" w:after="120"/>
      <w:ind w:left="454" w:hanging="454"/>
    </w:pPr>
    <w:rPr>
      <w:rFonts w:cstheme="minorBidi"/>
      <w:sz w:val="28"/>
      <w:lang w:eastAsia="ru-RU"/>
    </w:rPr>
  </w:style>
  <w:style w:type="character" w:customStyle="1" w:styleId="CitaviBibliographyEntry0">
    <w:name w:val="Citavi Bibliography Entry Знак"/>
    <w:basedOn w:val="a0"/>
    <w:link w:val="CitaviBibliographyEntry"/>
    <w:rsid w:val="004A26F7"/>
    <w:rPr>
      <w:rFonts w:ascii="Times New Roman" w:eastAsia="Times New Roman" w:hAnsi="Times New Roman"/>
      <w:sz w:val="28"/>
      <w:lang w:val="ru-RU" w:eastAsia="ru-RU"/>
    </w:rPr>
  </w:style>
  <w:style w:type="paragraph" w:styleId="a8">
    <w:name w:val="Normal (Web)"/>
    <w:basedOn w:val="a"/>
    <w:uiPriority w:val="99"/>
    <w:unhideWhenUsed/>
    <w:rsid w:val="004A26F7"/>
    <w:pPr>
      <w:widowControl/>
      <w:autoSpaceDE/>
      <w:autoSpaceDN/>
      <w:spacing w:before="120" w:after="120"/>
      <w:ind w:firstLine="709"/>
      <w:jc w:val="both"/>
    </w:pPr>
    <w:rPr>
      <w:sz w:val="24"/>
      <w:szCs w:val="24"/>
      <w:lang w:eastAsia="ru-RU"/>
    </w:rPr>
  </w:style>
  <w:style w:type="character" w:styleId="a9">
    <w:name w:val="Hyperlink"/>
    <w:basedOn w:val="a0"/>
    <w:uiPriority w:val="99"/>
    <w:unhideWhenUsed/>
    <w:rsid w:val="00FB0134"/>
    <w:rPr>
      <w:color w:val="0000FF" w:themeColor="hyperlink"/>
      <w:u w:val="single"/>
    </w:rPr>
  </w:style>
  <w:style w:type="character" w:customStyle="1" w:styleId="10">
    <w:name w:val="Неразрешенное упоминание1"/>
    <w:basedOn w:val="a0"/>
    <w:uiPriority w:val="99"/>
    <w:semiHidden/>
    <w:unhideWhenUsed/>
    <w:rsid w:val="00FB0134"/>
    <w:rPr>
      <w:color w:val="605E5C"/>
      <w:shd w:val="clear" w:color="auto" w:fill="E1DFDD"/>
    </w:rPr>
  </w:style>
  <w:style w:type="table" w:styleId="aa">
    <w:name w:val="Table Grid"/>
    <w:basedOn w:val="a1"/>
    <w:uiPriority w:val="59"/>
    <w:rsid w:val="005D5E3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99"/>
    <w:locked/>
    <w:rsid w:val="001D3570"/>
    <w:rPr>
      <w:rFonts w:ascii="Times New Roman" w:eastAsia="Times New Roman" w:hAnsi="Times New Roman" w:cs="Times New Roman"/>
      <w:lang w:val="ru-RU"/>
    </w:rPr>
  </w:style>
  <w:style w:type="paragraph" w:styleId="ab">
    <w:name w:val="TOC Heading"/>
    <w:basedOn w:val="a"/>
    <w:next w:val="a"/>
    <w:uiPriority w:val="39"/>
    <w:unhideWhenUsed/>
    <w:rsid w:val="008646B2"/>
    <w:pPr>
      <w:keepNext/>
      <w:keepLines/>
      <w:pageBreakBefore/>
      <w:widowControl/>
      <w:autoSpaceDE/>
      <w:autoSpaceDN/>
      <w:spacing w:before="240" w:after="120"/>
      <w:jc w:val="center"/>
      <w:outlineLvl w:val="0"/>
    </w:pPr>
    <w:rPr>
      <w:rFonts w:eastAsiaTheme="majorEastAsia" w:cstheme="majorBidi"/>
      <w:b/>
      <w:caps/>
      <w:sz w:val="28"/>
      <w:szCs w:val="32"/>
      <w:lang w:eastAsia="ru-RU"/>
    </w:rPr>
  </w:style>
  <w:style w:type="character" w:customStyle="1" w:styleId="20">
    <w:name w:val="Заголовок 2 Знак"/>
    <w:basedOn w:val="a0"/>
    <w:link w:val="2"/>
    <w:uiPriority w:val="9"/>
    <w:semiHidden/>
    <w:rsid w:val="000279C7"/>
    <w:rPr>
      <w:rFonts w:asciiTheme="majorHAnsi" w:eastAsiaTheme="majorEastAsia" w:hAnsiTheme="majorHAnsi" w:cstheme="majorBidi"/>
      <w:color w:val="365F91" w:themeColor="accent1" w:themeShade="BF"/>
      <w:sz w:val="26"/>
      <w:szCs w:val="26"/>
      <w:lang w:val="ru-RU"/>
    </w:rPr>
  </w:style>
  <w:style w:type="character" w:styleId="ac">
    <w:name w:val="Strong"/>
    <w:basedOn w:val="a0"/>
    <w:uiPriority w:val="22"/>
    <w:qFormat/>
    <w:rsid w:val="00EF23B0"/>
    <w:rPr>
      <w:b/>
      <w:bCs/>
    </w:rPr>
  </w:style>
  <w:style w:type="paragraph" w:styleId="ad">
    <w:name w:val="No Spacing"/>
    <w:uiPriority w:val="1"/>
    <w:qFormat/>
    <w:rsid w:val="00EF23B0"/>
    <w:rPr>
      <w:rFonts w:ascii="Times New Roman" w:eastAsia="Times New Roman" w:hAnsi="Times New Roman" w:cs="Times New Roman"/>
      <w:lang w:val="ru-RU"/>
    </w:rPr>
  </w:style>
  <w:style w:type="character" w:styleId="ae">
    <w:name w:val="Emphasis"/>
    <w:basedOn w:val="a0"/>
    <w:uiPriority w:val="20"/>
    <w:qFormat/>
    <w:rsid w:val="001E63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5678">
      <w:bodyDiv w:val="1"/>
      <w:marLeft w:val="0"/>
      <w:marRight w:val="0"/>
      <w:marTop w:val="0"/>
      <w:marBottom w:val="0"/>
      <w:divBdr>
        <w:top w:val="none" w:sz="0" w:space="0" w:color="auto"/>
        <w:left w:val="none" w:sz="0" w:space="0" w:color="auto"/>
        <w:bottom w:val="none" w:sz="0" w:space="0" w:color="auto"/>
        <w:right w:val="none" w:sz="0" w:space="0" w:color="auto"/>
      </w:divBdr>
    </w:div>
    <w:div w:id="1198927613">
      <w:bodyDiv w:val="1"/>
      <w:marLeft w:val="0"/>
      <w:marRight w:val="0"/>
      <w:marTop w:val="0"/>
      <w:marBottom w:val="0"/>
      <w:divBdr>
        <w:top w:val="none" w:sz="0" w:space="0" w:color="auto"/>
        <w:left w:val="none" w:sz="0" w:space="0" w:color="auto"/>
        <w:bottom w:val="none" w:sz="0" w:space="0" w:color="auto"/>
        <w:right w:val="none" w:sz="0" w:space="0" w:color="auto"/>
      </w:divBdr>
    </w:div>
    <w:div w:id="1452938940">
      <w:bodyDiv w:val="1"/>
      <w:marLeft w:val="0"/>
      <w:marRight w:val="0"/>
      <w:marTop w:val="0"/>
      <w:marBottom w:val="0"/>
      <w:divBdr>
        <w:top w:val="none" w:sz="0" w:space="0" w:color="auto"/>
        <w:left w:val="none" w:sz="0" w:space="0" w:color="auto"/>
        <w:bottom w:val="none" w:sz="0" w:space="0" w:color="auto"/>
        <w:right w:val="none" w:sz="0" w:space="0" w:color="auto"/>
      </w:divBdr>
    </w:div>
    <w:div w:id="1708409145">
      <w:bodyDiv w:val="1"/>
      <w:marLeft w:val="0"/>
      <w:marRight w:val="0"/>
      <w:marTop w:val="0"/>
      <w:marBottom w:val="0"/>
      <w:divBdr>
        <w:top w:val="none" w:sz="0" w:space="0" w:color="auto"/>
        <w:left w:val="none" w:sz="0" w:space="0" w:color="auto"/>
        <w:bottom w:val="none" w:sz="0" w:space="0" w:color="auto"/>
        <w:right w:val="none" w:sz="0" w:space="0" w:color="auto"/>
      </w:divBdr>
    </w:div>
    <w:div w:id="1840658587">
      <w:bodyDiv w:val="1"/>
      <w:marLeft w:val="0"/>
      <w:marRight w:val="0"/>
      <w:marTop w:val="0"/>
      <w:marBottom w:val="0"/>
      <w:divBdr>
        <w:top w:val="none" w:sz="0" w:space="0" w:color="auto"/>
        <w:left w:val="none" w:sz="0" w:space="0" w:color="auto"/>
        <w:bottom w:val="none" w:sz="0" w:space="0" w:color="auto"/>
        <w:right w:val="none" w:sz="0" w:space="0" w:color="auto"/>
      </w:divBdr>
    </w:div>
    <w:div w:id="2046447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jor.25345" TargetMode="External"/><Relationship Id="rId18" Type="http://schemas.openxmlformats.org/officeDocument/2006/relationships/hyperlink" Target="https://doi.org/10.18499/2070-478X-2018-11-1-70-7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89/107632700418137" TargetMode="External"/><Relationship Id="rId7" Type="http://schemas.openxmlformats.org/officeDocument/2006/relationships/endnotes" Target="endnotes.xml"/><Relationship Id="rId12" Type="http://schemas.openxmlformats.org/officeDocument/2006/relationships/hyperlink" Target="https://doi.org/10.1016/j.mtbio.2023.100586" TargetMode="External"/><Relationship Id="rId17" Type="http://schemas.openxmlformats.org/officeDocument/2006/relationships/hyperlink" Target="https://doi.org/10.5194/jbji-8-91-202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106/JBJS.OA.25.00157" TargetMode="External"/><Relationship Id="rId20" Type="http://schemas.openxmlformats.org/officeDocument/2006/relationships/hyperlink" Target="https://doi.org/10.1128/spectrum.00414-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ph16111615" TargetMode="External"/><Relationship Id="rId24" Type="http://schemas.openxmlformats.org/officeDocument/2006/relationships/hyperlink" Target="https://doi.org/10.1002/jor.20713" TargetMode="External"/><Relationship Id="rId5" Type="http://schemas.openxmlformats.org/officeDocument/2006/relationships/webSettings" Target="webSettings.xml"/><Relationship Id="rId15" Type="http://schemas.openxmlformats.org/officeDocument/2006/relationships/hyperlink" Target="https://doi.org/10.1302/0301-620X.104B9.BJJ-2022-0396.R1" TargetMode="External"/><Relationship Id="rId23" Type="http://schemas.openxmlformats.org/officeDocument/2006/relationships/hyperlink" Target="https://doi.org/10.1302/1358-992X.2020.11.004" TargetMode="External"/><Relationship Id="rId10" Type="http://schemas.openxmlformats.org/officeDocument/2006/relationships/hyperlink" Target="https://doi.org/10.3390/antibiotics12060944" TargetMode="External"/><Relationship Id="rId19" Type="http://schemas.openxmlformats.org/officeDocument/2006/relationships/hyperlink" Target="https://doi.org/10.3390/ma1207111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life13122347" TargetMode="External"/><Relationship Id="rId22" Type="http://schemas.openxmlformats.org/officeDocument/2006/relationships/hyperlink" Target="https://doi.org/10.7507/1002-1892.20201106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CC9E0-AEDC-496F-81B7-7D7D706A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6253</Words>
  <Characters>35645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Microsoft Office User</cp:lastModifiedBy>
  <cp:revision>2</cp:revision>
  <dcterms:created xsi:type="dcterms:W3CDTF">2026-04-05T17:23:00Z</dcterms:created>
  <dcterms:modified xsi:type="dcterms:W3CDTF">2026-04-05T17:23:00Z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2016</vt:lpwstr>
  </property>
  <property fmtid="{D5CDD505-2E9C-101B-9397-08002B2CF9AE}" pid="4" name="LastSaved">
    <vt:filetime>2026-04-03T00:00:00Z</vt:filetime>
  </property>
  <property fmtid="{D5CDD505-2E9C-101B-9397-08002B2CF9AE}" pid="5" name="Producer">
    <vt:lpwstr>www.ilovepdf.com</vt:lpwstr>
  </property>
</Properties>
</file>